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黑体" w:hAnsi="黑体" w:eastAsia="黑体"/>
          <w:b/>
          <w:sz w:val="32"/>
        </w:rPr>
      </w:pPr>
      <w:r>
        <w:rPr>
          <w:rFonts w:hint="eastAsia" w:ascii="黑体" w:hAnsi="黑体" w:eastAsia="黑体"/>
          <w:b/>
          <w:sz w:val="32"/>
        </w:rPr>
        <w:t>合肥学院第十</w:t>
      </w:r>
      <w:r>
        <w:rPr>
          <w:rFonts w:hint="eastAsia" w:ascii="黑体" w:hAnsi="黑体" w:eastAsia="黑体"/>
          <w:b/>
          <w:sz w:val="32"/>
          <w:lang w:val="en-US" w:eastAsia="zh-CN"/>
        </w:rPr>
        <w:t>三</w:t>
      </w:r>
      <w:r>
        <w:rPr>
          <w:rFonts w:hint="eastAsia" w:ascii="黑体" w:hAnsi="黑体" w:eastAsia="黑体"/>
          <w:b/>
          <w:sz w:val="32"/>
        </w:rPr>
        <w:t>届校园文化艺术节活动立项申请书</w:t>
      </w:r>
    </w:p>
    <w:tbl>
      <w:tblPr>
        <w:tblStyle w:val="3"/>
        <w:tblW w:w="91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1579"/>
        <w:gridCol w:w="493"/>
        <w:gridCol w:w="913"/>
        <w:gridCol w:w="120"/>
        <w:gridCol w:w="336"/>
        <w:gridCol w:w="1081"/>
        <w:gridCol w:w="964"/>
        <w:gridCol w:w="497"/>
        <w:gridCol w:w="823"/>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申报单位</w:t>
            </w:r>
          </w:p>
        </w:tc>
        <w:tc>
          <w:tcPr>
            <w:tcW w:w="1579" w:type="dxa"/>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机械工程系团总支</w:t>
            </w:r>
          </w:p>
        </w:tc>
        <w:tc>
          <w:tcPr>
            <w:tcW w:w="1526" w:type="dxa"/>
            <w:gridSpan w:val="3"/>
            <w:vAlign w:val="center"/>
          </w:tcPr>
          <w:p>
            <w:pPr>
              <w:jc w:val="center"/>
              <w:rPr>
                <w:rFonts w:hint="eastAsia" w:ascii="仿宋_GB2312" w:eastAsia="仿宋_GB2312"/>
                <w:sz w:val="21"/>
                <w:szCs w:val="21"/>
              </w:rPr>
            </w:pPr>
            <w:r>
              <w:rPr>
                <w:rFonts w:hint="eastAsia" w:ascii="仿宋_GB2312" w:eastAsia="仿宋_GB2312"/>
                <w:sz w:val="21"/>
                <w:szCs w:val="21"/>
              </w:rPr>
              <w:t>负 责 人</w:t>
            </w:r>
          </w:p>
        </w:tc>
        <w:tc>
          <w:tcPr>
            <w:tcW w:w="1417" w:type="dxa"/>
            <w:gridSpan w:val="2"/>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邓枫</w:t>
            </w:r>
          </w:p>
        </w:tc>
        <w:tc>
          <w:tcPr>
            <w:tcW w:w="1461" w:type="dxa"/>
            <w:gridSpan w:val="2"/>
            <w:vAlign w:val="center"/>
          </w:tcPr>
          <w:p>
            <w:pPr>
              <w:ind w:right="-466" w:rightChars="-222"/>
              <w:rPr>
                <w:rFonts w:hint="eastAsia" w:ascii="仿宋_GB2312" w:eastAsia="仿宋_GB2312"/>
                <w:sz w:val="21"/>
                <w:szCs w:val="21"/>
              </w:rPr>
            </w:pPr>
            <w:r>
              <w:rPr>
                <w:rFonts w:hint="eastAsia" w:ascii="仿宋_GB2312" w:eastAsia="仿宋_GB2312"/>
                <w:sz w:val="21"/>
                <w:szCs w:val="21"/>
              </w:rPr>
              <w:t>联系方式</w:t>
            </w:r>
          </w:p>
        </w:tc>
        <w:tc>
          <w:tcPr>
            <w:tcW w:w="1708" w:type="dxa"/>
            <w:gridSpan w:val="2"/>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13856520091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活动名称</w:t>
            </w:r>
          </w:p>
        </w:tc>
        <w:tc>
          <w:tcPr>
            <w:tcW w:w="7691" w:type="dxa"/>
            <w:gridSpan w:val="10"/>
            <w:vAlign w:val="center"/>
          </w:tcPr>
          <w:p>
            <w:pPr>
              <w:jc w:val="center"/>
              <w:rPr>
                <w:rFonts w:hint="eastAsia" w:ascii="仿宋_GB2312" w:eastAsia="仿宋_GB2312"/>
                <w:sz w:val="21"/>
                <w:szCs w:val="21"/>
              </w:rPr>
            </w:pPr>
            <w:r>
              <w:rPr>
                <w:rFonts w:hint="eastAsia" w:ascii="仿宋_GB2312" w:eastAsia="仿宋_GB2312"/>
                <w:sz w:val="21"/>
                <w:szCs w:val="21"/>
                <w:lang w:val="en-US" w:eastAsia="zh-CN"/>
              </w:rPr>
              <w:t>合肥学院第十三届校园文化节“书show杯”书法比赛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活动主题</w:t>
            </w:r>
          </w:p>
        </w:tc>
        <w:tc>
          <w:tcPr>
            <w:tcW w:w="7691" w:type="dxa"/>
            <w:gridSpan w:val="10"/>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以墨书梦，挥斥方遒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活动目的</w:t>
            </w:r>
          </w:p>
        </w:tc>
        <w:tc>
          <w:tcPr>
            <w:tcW w:w="7691" w:type="dxa"/>
            <w:gridSpan w:val="10"/>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规范我校大学生书写，激发对书法的兴趣。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活动时间</w:t>
            </w:r>
          </w:p>
        </w:tc>
        <w:tc>
          <w:tcPr>
            <w:tcW w:w="2072" w:type="dxa"/>
            <w:gridSpan w:val="2"/>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2017年4月7日</w:t>
            </w:r>
          </w:p>
        </w:tc>
        <w:tc>
          <w:tcPr>
            <w:tcW w:w="1369" w:type="dxa"/>
            <w:gridSpan w:val="3"/>
            <w:vAlign w:val="center"/>
          </w:tcPr>
          <w:p>
            <w:pPr>
              <w:jc w:val="center"/>
              <w:rPr>
                <w:rFonts w:hint="eastAsia" w:ascii="仿宋_GB2312" w:eastAsia="仿宋_GB2312"/>
                <w:sz w:val="21"/>
                <w:szCs w:val="21"/>
              </w:rPr>
            </w:pPr>
            <w:r>
              <w:rPr>
                <w:rFonts w:hint="eastAsia" w:ascii="仿宋_GB2312" w:eastAsia="仿宋_GB2312"/>
                <w:sz w:val="21"/>
                <w:szCs w:val="21"/>
              </w:rPr>
              <w:t>活动地点</w:t>
            </w:r>
          </w:p>
        </w:tc>
        <w:tc>
          <w:tcPr>
            <w:tcW w:w="2045" w:type="dxa"/>
            <w:gridSpan w:val="2"/>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大学生活动室1</w:t>
            </w:r>
          </w:p>
        </w:tc>
        <w:tc>
          <w:tcPr>
            <w:tcW w:w="1320" w:type="dxa"/>
            <w:gridSpan w:val="2"/>
            <w:vAlign w:val="center"/>
          </w:tcPr>
          <w:p>
            <w:pPr>
              <w:jc w:val="center"/>
              <w:rPr>
                <w:rFonts w:hint="eastAsia" w:ascii="仿宋_GB2312" w:eastAsia="仿宋_GB2312"/>
                <w:sz w:val="21"/>
                <w:szCs w:val="21"/>
              </w:rPr>
            </w:pPr>
            <w:r>
              <w:rPr>
                <w:rFonts w:hint="eastAsia" w:ascii="仿宋_GB2312" w:eastAsia="仿宋_GB2312"/>
                <w:sz w:val="21"/>
                <w:szCs w:val="21"/>
              </w:rPr>
              <w:t>经费来源</w:t>
            </w:r>
          </w:p>
        </w:tc>
        <w:tc>
          <w:tcPr>
            <w:tcW w:w="885" w:type="dxa"/>
            <w:vAlign w:val="center"/>
          </w:tcPr>
          <w:p>
            <w:pPr>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trPr>
        <w:tc>
          <w:tcPr>
            <w:tcW w:w="1469" w:type="dxa"/>
            <w:vAlign w:val="center"/>
          </w:tcPr>
          <w:p>
            <w:pPr>
              <w:jc w:val="center"/>
              <w:rPr>
                <w:rFonts w:hint="eastAsia" w:ascii="仿宋_GB2312" w:eastAsia="仿宋_GB2312"/>
                <w:sz w:val="21"/>
                <w:szCs w:val="21"/>
              </w:rPr>
            </w:pPr>
            <w:r>
              <w:rPr>
                <w:rFonts w:hint="eastAsia" w:ascii="仿宋_GB2312" w:eastAsia="仿宋_GB2312"/>
                <w:sz w:val="21"/>
                <w:szCs w:val="21"/>
              </w:rPr>
              <w:t>预算经费</w:t>
            </w:r>
          </w:p>
        </w:tc>
        <w:tc>
          <w:tcPr>
            <w:tcW w:w="7691" w:type="dxa"/>
            <w:gridSpan w:val="10"/>
            <w:vAlign w:val="center"/>
          </w:tcPr>
          <w:p>
            <w:pPr>
              <w:jc w:val="center"/>
              <w:rPr>
                <w:rFonts w:hint="eastAsia" w:ascii="仿宋_GB2312" w:eastAsia="仿宋_GB2312"/>
                <w:sz w:val="21"/>
                <w:szCs w:val="21"/>
              </w:rPr>
            </w:pPr>
            <w:r>
              <w:rPr>
                <w:rFonts w:hint="eastAsia" w:ascii="仿宋_GB2312" w:eastAsia="仿宋_GB2312"/>
                <w:sz w:val="21"/>
                <w:szCs w:val="21"/>
              </w:rPr>
              <w:t>（另附预算明细）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6" w:hRule="atLeast"/>
        </w:trPr>
        <w:tc>
          <w:tcPr>
            <w:tcW w:w="1469" w:type="dxa"/>
            <w:vAlign w:val="center"/>
          </w:tcPr>
          <w:p>
            <w:pPr>
              <w:spacing w:line="360" w:lineRule="auto"/>
              <w:jc w:val="center"/>
              <w:rPr>
                <w:rFonts w:hint="eastAsia" w:ascii="仿宋_GB2312" w:eastAsia="仿宋_GB2312"/>
                <w:sz w:val="21"/>
                <w:szCs w:val="21"/>
              </w:rPr>
            </w:pPr>
            <w:r>
              <w:rPr>
                <w:rFonts w:hint="eastAsia" w:ascii="仿宋_GB2312" w:eastAsia="仿宋_GB2312"/>
                <w:sz w:val="21"/>
                <w:szCs w:val="21"/>
              </w:rPr>
              <w:t>活</w:t>
            </w:r>
          </w:p>
          <w:p>
            <w:pPr>
              <w:spacing w:line="360" w:lineRule="auto"/>
              <w:jc w:val="center"/>
              <w:rPr>
                <w:rFonts w:hint="eastAsia" w:ascii="仿宋_GB2312" w:eastAsia="仿宋_GB2312"/>
                <w:sz w:val="21"/>
                <w:szCs w:val="21"/>
              </w:rPr>
            </w:pPr>
            <w:r>
              <w:rPr>
                <w:rFonts w:hint="eastAsia" w:ascii="仿宋_GB2312" w:eastAsia="仿宋_GB2312"/>
                <w:sz w:val="21"/>
                <w:szCs w:val="21"/>
              </w:rPr>
              <w:t>动</w:t>
            </w:r>
          </w:p>
          <w:p>
            <w:pPr>
              <w:spacing w:line="360" w:lineRule="auto"/>
              <w:jc w:val="center"/>
              <w:rPr>
                <w:rFonts w:hint="eastAsia" w:ascii="仿宋_GB2312" w:eastAsia="仿宋_GB2312"/>
                <w:sz w:val="21"/>
                <w:szCs w:val="21"/>
              </w:rPr>
            </w:pPr>
            <w:r>
              <w:rPr>
                <w:rFonts w:hint="eastAsia" w:ascii="仿宋_GB2312" w:eastAsia="仿宋_GB2312"/>
                <w:sz w:val="21"/>
                <w:szCs w:val="21"/>
              </w:rPr>
              <w:t>简</w:t>
            </w:r>
          </w:p>
          <w:p>
            <w:pPr>
              <w:spacing w:line="360" w:lineRule="auto"/>
              <w:jc w:val="center"/>
              <w:rPr>
                <w:rFonts w:hint="eastAsia" w:ascii="仿宋_GB2312" w:eastAsia="仿宋_GB2312"/>
                <w:sz w:val="21"/>
                <w:szCs w:val="21"/>
              </w:rPr>
            </w:pPr>
            <w:r>
              <w:rPr>
                <w:rFonts w:hint="eastAsia" w:ascii="仿宋_GB2312" w:eastAsia="仿宋_GB2312"/>
                <w:sz w:val="21"/>
                <w:szCs w:val="21"/>
              </w:rPr>
              <w:t>介</w:t>
            </w:r>
          </w:p>
        </w:tc>
        <w:tc>
          <w:tcPr>
            <w:tcW w:w="7691" w:type="dxa"/>
            <w:gridSpan w:val="10"/>
            <w:vAlign w:val="center"/>
          </w:tcPr>
          <w:p>
            <w:pPr>
              <w:jc w:val="left"/>
              <w:rPr>
                <w:rFonts w:hint="eastAsia" w:ascii="仿宋_GB2312" w:eastAsia="仿宋_GB2312"/>
                <w:sz w:val="21"/>
                <w:szCs w:val="21"/>
              </w:rPr>
            </w:pPr>
            <w:r>
              <w:rPr>
                <w:rFonts w:hint="eastAsia" w:ascii="仿宋_GB2312" w:eastAsia="仿宋_GB2312"/>
                <w:sz w:val="21"/>
                <w:szCs w:val="21"/>
                <w:lang w:val="en-US" w:eastAsia="zh-CN"/>
              </w:rPr>
              <w:t xml:space="preserve">    本次书法比赛分别设有软笔书法、硬笔书法和英文书法比赛三项。为保证比赛公平公正，比赛通过现场书写的方式进行，赛后作品匿名后进行评选。既弘扬的传统书法文化，也提醒学生们注意英文的书写规范。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0" w:hRule="atLeast"/>
        </w:trPr>
        <w:tc>
          <w:tcPr>
            <w:tcW w:w="1469" w:type="dxa"/>
            <w:vAlign w:val="center"/>
          </w:tcPr>
          <w:p>
            <w:pPr>
              <w:spacing w:line="360" w:lineRule="auto"/>
              <w:jc w:val="center"/>
              <w:rPr>
                <w:rFonts w:hint="eastAsia" w:ascii="仿宋_GB2312" w:eastAsia="仿宋_GB2312"/>
                <w:sz w:val="21"/>
                <w:szCs w:val="21"/>
              </w:rPr>
            </w:pPr>
            <w:r>
              <w:rPr>
                <w:rFonts w:hint="eastAsia" w:ascii="仿宋_GB2312" w:eastAsia="仿宋_GB2312"/>
                <w:sz w:val="21"/>
                <w:szCs w:val="21"/>
              </w:rPr>
              <w:t>活</w:t>
            </w:r>
          </w:p>
          <w:p>
            <w:pPr>
              <w:spacing w:line="360" w:lineRule="auto"/>
              <w:jc w:val="center"/>
              <w:rPr>
                <w:rFonts w:hint="eastAsia" w:ascii="仿宋_GB2312" w:eastAsia="仿宋_GB2312"/>
                <w:sz w:val="21"/>
                <w:szCs w:val="21"/>
              </w:rPr>
            </w:pPr>
            <w:r>
              <w:rPr>
                <w:rFonts w:hint="eastAsia" w:ascii="仿宋_GB2312" w:eastAsia="仿宋_GB2312"/>
                <w:sz w:val="21"/>
                <w:szCs w:val="21"/>
              </w:rPr>
              <w:t>动</w:t>
            </w:r>
          </w:p>
          <w:p>
            <w:pPr>
              <w:spacing w:line="360" w:lineRule="auto"/>
              <w:jc w:val="center"/>
              <w:rPr>
                <w:rFonts w:hint="eastAsia" w:ascii="仿宋_GB2312" w:eastAsia="仿宋_GB2312"/>
                <w:sz w:val="21"/>
                <w:szCs w:val="21"/>
              </w:rPr>
            </w:pPr>
            <w:r>
              <w:rPr>
                <w:rFonts w:hint="eastAsia" w:ascii="仿宋_GB2312" w:eastAsia="仿宋_GB2312"/>
                <w:sz w:val="21"/>
                <w:szCs w:val="21"/>
              </w:rPr>
              <w:t>预</w:t>
            </w:r>
          </w:p>
          <w:p>
            <w:pPr>
              <w:spacing w:line="360" w:lineRule="auto"/>
              <w:jc w:val="center"/>
              <w:rPr>
                <w:rFonts w:hint="eastAsia" w:ascii="仿宋_GB2312" w:eastAsia="仿宋_GB2312"/>
                <w:sz w:val="21"/>
                <w:szCs w:val="21"/>
              </w:rPr>
            </w:pPr>
            <w:r>
              <w:rPr>
                <w:rFonts w:hint="eastAsia" w:ascii="仿宋_GB2312" w:eastAsia="仿宋_GB2312"/>
                <w:sz w:val="21"/>
                <w:szCs w:val="21"/>
              </w:rPr>
              <w:t>期</w:t>
            </w:r>
          </w:p>
          <w:p>
            <w:pPr>
              <w:spacing w:line="360" w:lineRule="auto"/>
              <w:jc w:val="center"/>
              <w:rPr>
                <w:rFonts w:hint="eastAsia" w:ascii="仿宋_GB2312" w:eastAsia="仿宋_GB2312"/>
                <w:sz w:val="21"/>
                <w:szCs w:val="21"/>
              </w:rPr>
            </w:pPr>
            <w:r>
              <w:rPr>
                <w:rFonts w:hint="eastAsia" w:ascii="仿宋_GB2312" w:eastAsia="仿宋_GB2312"/>
                <w:sz w:val="21"/>
                <w:szCs w:val="21"/>
              </w:rPr>
              <w:t>效</w:t>
            </w:r>
          </w:p>
          <w:p>
            <w:pPr>
              <w:spacing w:line="360" w:lineRule="auto"/>
              <w:jc w:val="center"/>
              <w:rPr>
                <w:rFonts w:hint="eastAsia" w:ascii="仿宋_GB2312" w:eastAsia="仿宋_GB2312"/>
                <w:sz w:val="21"/>
                <w:szCs w:val="21"/>
              </w:rPr>
            </w:pPr>
            <w:r>
              <w:rPr>
                <w:rFonts w:hint="eastAsia" w:ascii="仿宋_GB2312" w:eastAsia="仿宋_GB2312"/>
                <w:sz w:val="21"/>
                <w:szCs w:val="21"/>
              </w:rPr>
              <w:t>果</w:t>
            </w:r>
          </w:p>
        </w:tc>
        <w:tc>
          <w:tcPr>
            <w:tcW w:w="7691" w:type="dxa"/>
            <w:gridSpan w:val="10"/>
            <w:vAlign w:val="center"/>
          </w:tcPr>
          <w:p>
            <w:pPr>
              <w:jc w:val="center"/>
              <w:rPr>
                <w:rFonts w:hint="eastAsia" w:ascii="仿宋_GB2312" w:eastAsia="仿宋_GB2312"/>
                <w:sz w:val="21"/>
                <w:szCs w:val="21"/>
                <w:lang w:val="en-US" w:eastAsia="zh-CN"/>
              </w:rPr>
            </w:pPr>
          </w:p>
          <w:p>
            <w:pPr>
              <w:jc w:val="center"/>
              <w:rPr>
                <w:rFonts w:hint="eastAsia" w:ascii="仿宋_GB2312" w:eastAsia="仿宋_GB2312"/>
                <w:sz w:val="21"/>
                <w:szCs w:val="21"/>
                <w:lang w:val="en-US" w:eastAsia="zh-CN"/>
              </w:rPr>
            </w:pPr>
          </w:p>
          <w:p>
            <w:pPr>
              <w:jc w:val="left"/>
              <w:rPr>
                <w:rFonts w:hint="eastAsia" w:ascii="仿宋_GB2312" w:eastAsia="仿宋_GB2312"/>
                <w:sz w:val="21"/>
                <w:szCs w:val="21"/>
                <w:lang w:val="en-US" w:eastAsia="zh-CN"/>
              </w:rPr>
            </w:pPr>
            <w:r>
              <w:rPr>
                <w:rFonts w:hint="eastAsia" w:ascii="仿宋_GB2312" w:eastAsia="仿宋_GB2312"/>
                <w:sz w:val="21"/>
                <w:szCs w:val="21"/>
                <w:lang w:val="en-US" w:eastAsia="zh-CN"/>
              </w:rPr>
              <w:t xml:space="preserve">    通过比赛激发同学们对硬笔、软笔以及英文书法的兴趣，使其重视自己的书写质量，从而有效改善整体书写欠佳的状况；同时，这也是继承我国优良的文字文化传统和提高英语书写能力的活动，在丰富同学课余文化生活的同时也给他们一个展现自我的舞台。</w:t>
            </w:r>
          </w:p>
          <w:p>
            <w:pPr>
              <w:spacing w:line="360" w:lineRule="auto"/>
              <w:jc w:val="center"/>
              <w:rPr>
                <w:rFonts w:hint="eastAsia" w:ascii="仿宋_GB2312" w:eastAsia="仿宋_GB2312"/>
                <w:sz w:val="21"/>
                <w:szCs w:val="21"/>
              </w:rPr>
            </w:pPr>
            <w:r>
              <w:rPr>
                <w:rFonts w:hint="eastAsia" w:ascii="仿宋_GB2312" w:eastAsia="仿宋_GB2312"/>
                <w:sz w:val="21"/>
                <w:szCs w:val="21"/>
                <w:lang w:val="zh-CN" w:eastAsia="zh-CN"/>
              </w:rPr>
              <mc:AlternateContent>
                <mc:Choice Requires="wps">
                  <w:drawing>
                    <wp:anchor distT="0" distB="0" distL="114300" distR="114300" simplePos="0" relativeHeight="251658240" behindDoc="0" locked="0" layoutInCell="1" allowOverlap="1">
                      <wp:simplePos x="0" y="0"/>
                      <wp:positionH relativeFrom="column">
                        <wp:posOffset>2034540</wp:posOffset>
                      </wp:positionH>
                      <wp:positionV relativeFrom="paragraph">
                        <wp:posOffset>3810</wp:posOffset>
                      </wp:positionV>
                      <wp:extent cx="635" cy="0"/>
                      <wp:effectExtent l="0" t="0" r="0" b="0"/>
                      <wp:wrapNone/>
                      <wp:docPr id="1" name="直线 2"/>
                      <wp:cNvGraphicFramePr/>
                      <a:graphic xmlns:a="http://schemas.openxmlformats.org/drawingml/2006/main">
                        <a:graphicData uri="http://schemas.microsoft.com/office/word/2010/wordprocessingShape">
                          <wps:wsp>
                            <wps:cNvSp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60.2pt;margin-top:0.3pt;height:0pt;width:0.05pt;z-index:251658240;mso-width-relative:page;mso-height-relative:page;" filled="f" coordsize="21600,21600" o:gfxdata="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RNmLnSAAAABQEAAA8AAAAAAAAAAQAgAAAAIgAAAGRycy9kb3ducmV2&#10;LnhtbFBLAQIUABQAAAAIAIdO4kCghLPryQEAAIkDAAAOAAAAAAAAAAEAIAAAACEBAABkcnMvZTJv&#10;RG9jLnhtbFBLBQYAAAAABgAGAFkBAABcBQAAAAA=&#10;">
                      <v:path arrowok="t"/>
                      <v:fill on="f" focussize="0,0"/>
                      <v:stroke/>
                      <v:imagedata o:title=""/>
                      <o:lock v:ext="edit"/>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6" w:hRule="atLeast"/>
        </w:trPr>
        <w:tc>
          <w:tcPr>
            <w:tcW w:w="1469" w:type="dxa"/>
            <w:vAlign w:val="center"/>
          </w:tcPr>
          <w:p>
            <w:pPr>
              <w:spacing w:line="360" w:lineRule="auto"/>
              <w:jc w:val="center"/>
              <w:rPr>
                <w:rFonts w:hint="eastAsia" w:ascii="仿宋_GB2312" w:eastAsia="仿宋_GB2312"/>
                <w:sz w:val="21"/>
                <w:szCs w:val="21"/>
              </w:rPr>
            </w:pPr>
            <w:r>
              <w:rPr>
                <w:rFonts w:hint="eastAsia" w:ascii="仿宋_GB2312" w:eastAsia="仿宋_GB2312"/>
                <w:sz w:val="21"/>
                <w:szCs w:val="21"/>
              </w:rPr>
              <w:t>宣</w:t>
            </w:r>
          </w:p>
          <w:p>
            <w:pPr>
              <w:spacing w:line="360" w:lineRule="auto"/>
              <w:jc w:val="center"/>
              <w:rPr>
                <w:rFonts w:hint="eastAsia" w:ascii="仿宋_GB2312" w:eastAsia="仿宋_GB2312"/>
                <w:sz w:val="21"/>
                <w:szCs w:val="21"/>
              </w:rPr>
            </w:pPr>
            <w:r>
              <w:rPr>
                <w:rFonts w:hint="eastAsia" w:ascii="仿宋_GB2312" w:eastAsia="仿宋_GB2312"/>
                <w:sz w:val="21"/>
                <w:szCs w:val="21"/>
              </w:rPr>
              <w:t>传</w:t>
            </w:r>
          </w:p>
          <w:p>
            <w:pPr>
              <w:spacing w:line="360" w:lineRule="auto"/>
              <w:jc w:val="center"/>
              <w:rPr>
                <w:rFonts w:hint="eastAsia" w:ascii="仿宋_GB2312" w:eastAsia="仿宋_GB2312"/>
                <w:sz w:val="21"/>
                <w:szCs w:val="21"/>
              </w:rPr>
            </w:pPr>
            <w:r>
              <w:rPr>
                <w:rFonts w:hint="eastAsia" w:ascii="仿宋_GB2312" w:eastAsia="仿宋_GB2312"/>
                <w:sz w:val="21"/>
                <w:szCs w:val="21"/>
              </w:rPr>
              <w:t>方</w:t>
            </w:r>
          </w:p>
          <w:p>
            <w:pPr>
              <w:spacing w:line="360" w:lineRule="auto"/>
              <w:jc w:val="center"/>
              <w:rPr>
                <w:rFonts w:hint="eastAsia" w:ascii="仿宋_GB2312" w:eastAsia="仿宋_GB2312"/>
                <w:sz w:val="21"/>
                <w:szCs w:val="21"/>
              </w:rPr>
            </w:pPr>
            <w:r>
              <w:rPr>
                <w:rFonts w:hint="eastAsia" w:ascii="仿宋_GB2312" w:eastAsia="仿宋_GB2312"/>
                <w:sz w:val="21"/>
                <w:szCs w:val="21"/>
              </w:rPr>
              <w:t>式</w:t>
            </w:r>
          </w:p>
        </w:tc>
        <w:tc>
          <w:tcPr>
            <w:tcW w:w="7691" w:type="dxa"/>
            <w:gridSpan w:val="10"/>
            <w:vAlign w:val="center"/>
          </w:tcPr>
          <w:p>
            <w:pPr>
              <w:jc w:val="left"/>
              <w:rPr>
                <w:rFonts w:hint="eastAsia" w:ascii="仿宋_GB2312" w:eastAsia="仿宋_GB2312"/>
                <w:sz w:val="21"/>
                <w:szCs w:val="21"/>
                <w:lang w:val="en-US" w:eastAsia="zh-CN"/>
              </w:rPr>
            </w:pPr>
            <w:r>
              <w:rPr>
                <w:rFonts w:hint="eastAsia" w:ascii="仿宋_GB2312" w:eastAsia="仿宋_GB2312"/>
                <w:sz w:val="21"/>
                <w:szCs w:val="21"/>
                <w:lang w:val="en-US" w:eastAsia="zh-CN"/>
              </w:rPr>
              <w:t xml:space="preserve">    </w:t>
            </w:r>
            <w:r>
              <w:rPr>
                <w:rFonts w:ascii="仿宋_GB2312" w:eastAsia="仿宋_GB2312"/>
                <w:sz w:val="21"/>
                <w:szCs w:val="21"/>
              </w:rPr>
              <w:t>采用线上</w:t>
            </w:r>
            <w:r>
              <w:rPr>
                <w:rFonts w:hint="eastAsia" w:ascii="仿宋_GB2312" w:eastAsia="仿宋_GB2312"/>
                <w:sz w:val="21"/>
                <w:szCs w:val="21"/>
                <w:lang w:val="en-US" w:eastAsia="zh-CN"/>
              </w:rPr>
              <w:t>与</w:t>
            </w:r>
            <w:r>
              <w:rPr>
                <w:rFonts w:ascii="仿宋_GB2312" w:eastAsia="仿宋_GB2312"/>
                <w:sz w:val="21"/>
                <w:szCs w:val="21"/>
              </w:rPr>
              <w:t>线下</w:t>
            </w:r>
            <w:r>
              <w:rPr>
                <w:rFonts w:hint="eastAsia" w:ascii="仿宋_GB2312" w:eastAsia="仿宋_GB2312"/>
                <w:sz w:val="21"/>
                <w:szCs w:val="21"/>
                <w:lang w:val="en-US" w:eastAsia="zh-CN"/>
              </w:rPr>
              <w:t>宣传</w:t>
            </w:r>
            <w:r>
              <w:rPr>
                <w:rFonts w:ascii="仿宋_GB2312" w:eastAsia="仿宋_GB2312"/>
                <w:sz w:val="21"/>
                <w:szCs w:val="21"/>
              </w:rPr>
              <w:t>同时进行的方式宣传，线下制作海报或展板宣传，线上通过合肥学院机械工程系团总支微博、</w:t>
            </w:r>
            <w:r>
              <w:rPr>
                <w:rFonts w:hint="eastAsia" w:ascii="仿宋_GB2312" w:eastAsia="仿宋_GB2312"/>
                <w:sz w:val="21"/>
                <w:szCs w:val="21"/>
              </w:rPr>
              <w:t>QQ、</w:t>
            </w:r>
            <w:r>
              <w:rPr>
                <w:rFonts w:hint="eastAsia" w:ascii="仿宋_GB2312" w:eastAsia="仿宋_GB2312"/>
                <w:sz w:val="21"/>
                <w:szCs w:val="21"/>
                <w:lang w:val="en-US" w:eastAsia="zh-CN"/>
              </w:rPr>
              <w:t>Myouth</w:t>
            </w:r>
            <w:r>
              <w:rPr>
                <w:rFonts w:hint="eastAsia" w:ascii="仿宋_GB2312" w:eastAsia="仿宋_GB2312"/>
                <w:sz w:val="21"/>
                <w:szCs w:val="21"/>
              </w:rPr>
              <w:t>微信平台</w:t>
            </w:r>
            <w:r>
              <w:rPr>
                <w:rFonts w:hint="eastAsia" w:ascii="仿宋_GB2312" w:eastAsia="仿宋_GB2312"/>
                <w:sz w:val="21"/>
                <w:szCs w:val="21"/>
                <w:lang w:val="en-US" w:eastAsia="zh-CN"/>
              </w:rPr>
              <w:t>以及百度贴吧</w:t>
            </w:r>
            <w:r>
              <w:rPr>
                <w:rFonts w:hint="eastAsia" w:ascii="仿宋_GB2312" w:eastAsia="仿宋_GB2312"/>
                <w:sz w:val="21"/>
                <w:szCs w:val="21"/>
              </w:rPr>
              <w:t>进行宣传</w:t>
            </w:r>
            <w:r>
              <w:rPr>
                <w:rFonts w:hint="eastAsia" w:ascii="仿宋_GB2312" w:eastAsia="仿宋_GB2312"/>
                <w:sz w:val="21"/>
                <w:szCs w:val="21"/>
                <w:lang w:eastAsia="zh-CN"/>
              </w:rPr>
              <w:t>。</w:t>
            </w:r>
            <w:r>
              <w:rPr>
                <w:rFonts w:hint="eastAsia" w:ascii="仿宋_GB2312" w:eastAsia="仿宋_GB2312"/>
                <w:sz w:val="21"/>
                <w:szCs w:val="21"/>
                <w:lang w:val="en-US" w:eastAsia="zh-CN"/>
              </w:rPr>
              <w:t>同时为了确保通知到各系，本次活动由机械工程系团总支学生会宣传部委员通知各系学生会宣传本系比赛。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8" w:hRule="atLeast"/>
        </w:trPr>
        <w:tc>
          <w:tcPr>
            <w:tcW w:w="4454" w:type="dxa"/>
            <w:gridSpan w:val="4"/>
            <w:vAlign w:val="top"/>
          </w:tcPr>
          <w:p>
            <w:pPr>
              <w:rPr>
                <w:rFonts w:hint="eastAsia" w:ascii="仿宋_GB2312" w:eastAsia="仿宋_GB2312"/>
                <w:sz w:val="21"/>
                <w:szCs w:val="21"/>
              </w:rPr>
            </w:pPr>
            <w:r>
              <w:rPr>
                <w:rFonts w:hint="eastAsia" w:ascii="仿宋_GB2312" w:eastAsia="仿宋_GB2312"/>
                <w:sz w:val="21"/>
                <w:szCs w:val="21"/>
              </w:rPr>
              <w:t>申报单位意见</w:t>
            </w:r>
          </w:p>
          <w:p>
            <w:pPr>
              <w:rPr>
                <w:rFonts w:hint="eastAsia" w:ascii="仿宋_GB2312" w:eastAsia="仿宋_GB2312"/>
                <w:sz w:val="21"/>
                <w:szCs w:val="21"/>
              </w:rPr>
            </w:pPr>
          </w:p>
          <w:p>
            <w:pPr>
              <w:rPr>
                <w:rFonts w:hint="eastAsia" w:ascii="仿宋_GB2312" w:eastAsia="仿宋_GB2312"/>
                <w:sz w:val="21"/>
                <w:szCs w:val="21"/>
              </w:rPr>
            </w:pPr>
          </w:p>
          <w:p>
            <w:pPr>
              <w:ind w:firstLine="1680" w:firstLineChars="700"/>
              <w:rPr>
                <w:rFonts w:hint="eastAsia" w:ascii="仿宋_GB2312" w:eastAsia="仿宋_GB2312"/>
                <w:sz w:val="21"/>
                <w:szCs w:val="21"/>
              </w:rPr>
            </w:pPr>
          </w:p>
        </w:tc>
        <w:tc>
          <w:tcPr>
            <w:tcW w:w="4706" w:type="dxa"/>
            <w:gridSpan w:val="7"/>
            <w:vAlign w:val="top"/>
          </w:tcPr>
          <w:p>
            <w:pPr>
              <w:rPr>
                <w:rFonts w:hint="eastAsia" w:ascii="仿宋_GB2312" w:eastAsia="仿宋_GB2312"/>
                <w:sz w:val="21"/>
                <w:szCs w:val="21"/>
              </w:rPr>
            </w:pPr>
            <w:r>
              <w:rPr>
                <w:rFonts w:hint="eastAsia" w:ascii="仿宋_GB2312" w:eastAsia="仿宋_GB2312"/>
                <w:sz w:val="21"/>
                <w:szCs w:val="21"/>
              </w:rPr>
              <w:t>校园文化艺术节组委会意见</w:t>
            </w:r>
          </w:p>
          <w:p>
            <w:pPr>
              <w:rPr>
                <w:rFonts w:hint="eastAsia" w:ascii="仿宋_GB2312" w:eastAsia="仿宋_GB2312"/>
                <w:sz w:val="21"/>
                <w:szCs w:val="21"/>
              </w:rPr>
            </w:pPr>
          </w:p>
          <w:p>
            <w:pPr>
              <w:rPr>
                <w:rFonts w:hint="eastAsia" w:ascii="仿宋_GB2312" w:eastAsia="仿宋_GB2312"/>
                <w:sz w:val="21"/>
                <w:szCs w:val="21"/>
              </w:rPr>
            </w:pPr>
          </w:p>
          <w:p>
            <w:pPr>
              <w:rPr>
                <w:rFonts w:hint="eastAsia" w:ascii="仿宋_GB2312" w:eastAsia="仿宋_GB2312"/>
                <w:sz w:val="21"/>
                <w:szCs w:val="21"/>
              </w:rPr>
            </w:pPr>
          </w:p>
          <w:p>
            <w:pPr>
              <w:ind w:firstLine="2400" w:firstLineChars="1000"/>
              <w:rPr>
                <w:rFonts w:hint="eastAsia" w:ascii="仿宋_GB2312" w:eastAsia="仿宋_GB2312"/>
                <w:sz w:val="21"/>
                <w:szCs w:val="21"/>
              </w:rPr>
            </w:pPr>
          </w:p>
          <w:p>
            <w:pPr>
              <w:rPr>
                <w:rFonts w:hint="eastAsia" w:ascii="仿宋_GB2312" w:eastAsia="仿宋_GB2312"/>
                <w:sz w:val="21"/>
                <w:szCs w:val="21"/>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swiss"/>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A7D10"/>
    <w:rsid w:val="17AA7D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2017-03-23T13:52:00Z</dcterms:created>
  <dc:creator>admin</dc:creator>
  <cp:lastModifiedBy>admin</cp:lastModifiedBy>
  <dcterms:modified xsi:type="dcterms:W3CDTF">2017-03-23T13:55:58Z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