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0"/>
        </w:tabs>
        <w:kinsoku/>
        <w:wordWrap/>
        <w:overflowPunct/>
        <w:topLinePunct w:val="0"/>
        <w:autoSpaceDE/>
        <w:autoSpaceDN/>
        <w:bidi w:val="0"/>
        <w:adjustRightInd/>
        <w:snapToGrid w:val="0"/>
        <w:spacing w:line="640" w:lineRule="exact"/>
        <w:jc w:val="center"/>
        <w:rPr>
          <w:rFonts w:hint="eastAsia" w:ascii="黑体" w:hAnsi="黑体" w:eastAsia="黑体" w:cs="黑体"/>
          <w:b/>
          <w:bCs/>
          <w:kern w:val="0"/>
          <w:sz w:val="36"/>
          <w:szCs w:val="36"/>
          <w:lang w:bidi="ar"/>
        </w:rPr>
      </w:pPr>
      <w:r>
        <w:rPr>
          <w:rFonts w:hint="eastAsia" w:ascii="黑体" w:hAnsi="黑体" w:eastAsia="黑体" w:cs="黑体"/>
          <w:b/>
          <w:bCs/>
          <w:kern w:val="0"/>
          <w:sz w:val="36"/>
          <w:szCs w:val="36"/>
          <w:lang w:bidi="ar"/>
        </w:rPr>
        <w:t>凝心聚力启新程</w:t>
      </w:r>
      <w:r>
        <w:rPr>
          <w:rFonts w:hint="eastAsia" w:ascii="黑体" w:hAnsi="黑体" w:eastAsia="黑体" w:cs="黑体"/>
          <w:b/>
          <w:bCs/>
          <w:kern w:val="0"/>
          <w:sz w:val="36"/>
          <w:szCs w:val="36"/>
          <w:lang w:val="en-US" w:eastAsia="zh-CN" w:bidi="ar"/>
        </w:rPr>
        <w:t xml:space="preserve"> </w:t>
      </w:r>
      <w:r>
        <w:rPr>
          <w:rFonts w:hint="eastAsia" w:ascii="黑体" w:hAnsi="黑体" w:eastAsia="黑体" w:cs="黑体"/>
          <w:b/>
          <w:bCs/>
          <w:kern w:val="0"/>
          <w:sz w:val="36"/>
          <w:szCs w:val="36"/>
          <w:lang w:bidi="ar"/>
        </w:rPr>
        <w:t xml:space="preserve"> 砥砺奋进谱新篇</w:t>
      </w:r>
    </w:p>
    <w:p>
      <w:pPr>
        <w:pStyle w:val="9"/>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beforeAutospacing="0" w:afterAutospacing="0" w:line="640" w:lineRule="exact"/>
        <w:jc w:val="center"/>
        <w:textAlignment w:val="baseline"/>
        <w:rPr>
          <w:rFonts w:hint="eastAsia" w:ascii="黑体" w:hAnsi="黑体" w:eastAsia="黑体" w:cs="黑体"/>
          <w:b/>
          <w:bCs/>
          <w:color w:val="auto"/>
          <w:sz w:val="36"/>
          <w:szCs w:val="36"/>
          <w:lang w:bidi="ar"/>
        </w:rPr>
      </w:pPr>
      <w:r>
        <w:rPr>
          <w:rFonts w:hint="eastAsia" w:ascii="黑体" w:hAnsi="黑体" w:eastAsia="黑体" w:cs="黑体"/>
          <w:b/>
          <w:bCs/>
          <w:color w:val="auto"/>
          <w:sz w:val="36"/>
          <w:szCs w:val="36"/>
          <w:lang w:bidi="ar"/>
        </w:rPr>
        <w:t>全力推动高水平应用型大学建设迈上新台阶</w:t>
      </w:r>
    </w:p>
    <w:p>
      <w:pPr>
        <w:pStyle w:val="9"/>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beforeAutospacing="0" w:afterAutospacing="0" w:line="560" w:lineRule="exact"/>
        <w:jc w:val="both"/>
        <w:textAlignment w:val="baseline"/>
        <w:rPr>
          <w:rFonts w:ascii="仿宋_GB2312" w:hAnsi="楷体" w:eastAsia="仿宋_GB2312" w:cs="楷体"/>
          <w:b/>
          <w:color w:val="auto"/>
          <w:sz w:val="32"/>
          <w:szCs w:val="32"/>
        </w:rPr>
      </w:pPr>
      <w:r>
        <w:rPr>
          <w:rFonts w:hint="eastAsia" w:ascii="仿宋_GB2312" w:hAnsi="仿宋_GB2312" w:eastAsia="仿宋_GB2312" w:cs="仿宋_GB2312"/>
          <w:b/>
          <w:color w:val="auto"/>
          <w:sz w:val="32"/>
          <w:szCs w:val="32"/>
        </w:rPr>
        <w:t>——</w:t>
      </w:r>
      <w:r>
        <w:rPr>
          <w:rFonts w:hint="eastAsia" w:ascii="楷体" w:hAnsi="楷体" w:eastAsia="楷体" w:cs="楷体"/>
          <w:b/>
          <w:color w:val="auto"/>
          <w:spacing w:val="-6"/>
          <w:sz w:val="32"/>
          <w:szCs w:val="32"/>
        </w:rPr>
        <w:t>在合肥学院第三届教职工、工会会员四次代表大会上的报告</w:t>
      </w:r>
    </w:p>
    <w:p>
      <w:pPr>
        <w:pStyle w:val="9"/>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beforeAutospacing="0" w:afterAutospacing="0" w:line="240" w:lineRule="auto"/>
        <w:ind w:firstLine="640" w:firstLineChars="200"/>
        <w:jc w:val="center"/>
        <w:textAlignment w:val="baseline"/>
        <w:outlineLvl w:val="0"/>
        <w:rPr>
          <w:rFonts w:ascii="楷体" w:hAnsi="楷体" w:eastAsia="楷体" w:cs="楷体"/>
          <w:bCs/>
          <w:color w:val="auto"/>
          <w:sz w:val="32"/>
          <w:szCs w:val="32"/>
        </w:rPr>
      </w:pPr>
      <w:bookmarkStart w:id="0" w:name="_Toc12411"/>
      <w:r>
        <w:rPr>
          <w:rFonts w:hint="eastAsia" w:ascii="楷体" w:hAnsi="楷体" w:eastAsia="楷体" w:cs="楷体"/>
          <w:bCs/>
          <w:color w:val="auto"/>
          <w:sz w:val="32"/>
          <w:szCs w:val="32"/>
        </w:rPr>
        <w:t>校长  吴春梅</w:t>
      </w:r>
      <w:bookmarkEnd w:id="0"/>
    </w:p>
    <w:p>
      <w:pPr>
        <w:pStyle w:val="9"/>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beforeAutospacing="0" w:afterAutospacing="0" w:line="240" w:lineRule="auto"/>
        <w:ind w:firstLine="640" w:firstLineChars="200"/>
        <w:jc w:val="center"/>
        <w:textAlignment w:val="baseline"/>
        <w:outlineLvl w:val="0"/>
        <w:rPr>
          <w:rFonts w:hint="eastAsia" w:ascii="仿宋_GB2312" w:hAnsi="楷体" w:eastAsia="仿宋_GB2312" w:cs="楷体"/>
          <w:bCs/>
          <w:color w:val="auto"/>
          <w:sz w:val="32"/>
          <w:szCs w:val="32"/>
        </w:rPr>
      </w:pPr>
      <w:bookmarkStart w:id="1" w:name="_Toc17868"/>
      <w:r>
        <w:rPr>
          <w:rFonts w:hint="eastAsia" w:ascii="仿宋_GB2312" w:hAnsi="楷体" w:eastAsia="仿宋_GB2312" w:cs="楷体"/>
          <w:bCs/>
          <w:color w:val="auto"/>
          <w:sz w:val="32"/>
          <w:szCs w:val="32"/>
        </w:rPr>
        <w:t>（2022年3月18日）</w:t>
      </w:r>
      <w:bookmarkEnd w:id="1"/>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各位代表、同志们：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现在，我代表学校向大会作工作报告，请各位代表审议，并请列席人员提出意见。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一、2021年工作回顾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2021年，是党和国家历史上具有里程碑意义的一年，我们迎来了中国共产党成立一百周年，开启了全面建设社会主义现代化国家</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向第二个百年奋斗目标进军的新征程。一年来，在省委省政府和市委市政府的坚强领导下，在省委教育工委、省教育厅的指导支持下，学校以习近平新时代中国特色社会主义思想为指导，坚持党对教育事业的全面领导，坚定社会主义办学方向，统筹疫情防控和事业发展，学校地方高水平大学建设项目中期检查被评定为“A”等次，在省委综合考核中连续六年被评为“优秀”等次。国务院副总理孙春兰、省长王清宪、省委教育工委书记钱桂仑</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教育厅厅长赵振华等先后来校考察指导，充分肯定学校在人才培养、国际合作、服务地方等方面取得的成绩，希望继续发挥示范带头作用。学校实现“十四五”良好开局。</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楷体" w:hAnsi="楷体" w:eastAsia="楷体" w:cs="楷体"/>
          <w:b/>
          <w:bCs w:val="0"/>
          <w:color w:val="auto"/>
          <w:kern w:val="0"/>
          <w:sz w:val="32"/>
          <w:szCs w:val="32"/>
          <w:highlight w:val="none"/>
          <w:lang w:val="en-US" w:eastAsia="zh-CN" w:bidi="ar-SA"/>
        </w:rPr>
        <w:t>（一）坚持以生为本，招生就业工作取得新成效。</w:t>
      </w:r>
      <w:r>
        <w:rPr>
          <w:rFonts w:hint="eastAsia" w:ascii="仿宋_GB2312" w:hAnsi="仿宋_GB2312" w:eastAsia="仿宋_GB2312" w:cs="仿宋_GB2312"/>
          <w:b w:val="0"/>
          <w:bCs/>
          <w:color w:val="auto"/>
          <w:kern w:val="0"/>
          <w:sz w:val="32"/>
          <w:szCs w:val="32"/>
          <w:highlight w:val="none"/>
        </w:rPr>
        <w:t>落实招生就业工作“一把手工程”，本科招生3700人，形成面向23个省份多批次、多种类的生源结构。研究生招生336人。学校本科教学质量报告被评为A级，顺利通过安徽省“三全育人”综合改革试点单位中期评估，获安徽省普通高校征兵工作绩效考评</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优秀</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等次（本科院校第一名）。毕业生就业率达到91.79%，继续位居全省前列。毕业生近70%在安徽、50%在合肥就业，为区域发展提供有力支撑。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楷体" w:hAnsi="楷体" w:eastAsia="楷体" w:cs="楷体"/>
          <w:b/>
          <w:bCs w:val="0"/>
          <w:color w:val="auto"/>
          <w:kern w:val="0"/>
          <w:sz w:val="32"/>
          <w:szCs w:val="32"/>
          <w:highlight w:val="none"/>
          <w:lang w:val="en-US" w:eastAsia="zh-CN" w:bidi="ar-SA"/>
        </w:rPr>
        <w:t>（二）注重激活兴教之源，新时代师资队伍建设开创新局面。</w:t>
      </w:r>
      <w:r>
        <w:rPr>
          <w:rFonts w:hint="eastAsia" w:ascii="仿宋_GB2312" w:hAnsi="仿宋_GB2312" w:eastAsia="仿宋_GB2312" w:cs="仿宋_GB2312"/>
          <w:b w:val="0"/>
          <w:bCs/>
          <w:color w:val="auto"/>
          <w:kern w:val="0"/>
          <w:sz w:val="32"/>
          <w:szCs w:val="32"/>
          <w:highlight w:val="none"/>
        </w:rPr>
        <w:t>加大人才引育力度，持续深化岗位设置与聘用管理制度改革，推进职称评审、高层次人才认定和绩效改革，激发人才活力。实施“551”工程，全年引进博士24人，柔性引进特聘教授6人。推荐入选第十三批省学术和技术带头人后备人选1人、高校优秀拔尖人才培育项目19人。已认定市高层次人才135人、研究生校内导师430名、校外导师213名，博士比达到34.5%。加强师德师风建设，注重选树典型，</w:t>
      </w:r>
      <w:r>
        <w:rPr>
          <w:rFonts w:hint="eastAsia" w:ascii="仿宋_GB2312" w:hAnsi="仿宋_GB2312" w:eastAsia="仿宋_GB2312" w:cs="仿宋_GB2312"/>
          <w:b w:val="0"/>
          <w:bCs/>
          <w:color w:val="auto"/>
          <w:kern w:val="0"/>
          <w:sz w:val="32"/>
          <w:szCs w:val="32"/>
          <w:highlight w:val="none"/>
          <w:lang w:val="en-US" w:eastAsia="zh-CN"/>
        </w:rPr>
        <w:t>5名</w:t>
      </w:r>
      <w:r>
        <w:rPr>
          <w:rFonts w:hint="eastAsia" w:ascii="仿宋_GB2312" w:hAnsi="仿宋_GB2312" w:eastAsia="仿宋_GB2312" w:cs="仿宋_GB2312"/>
          <w:b w:val="0"/>
          <w:bCs/>
          <w:color w:val="auto"/>
          <w:kern w:val="0"/>
          <w:sz w:val="32"/>
          <w:szCs w:val="32"/>
          <w:highlight w:val="none"/>
        </w:rPr>
        <w:t>教师</w:t>
      </w:r>
      <w:r>
        <w:rPr>
          <w:rFonts w:hint="eastAsia" w:ascii="仿宋_GB2312" w:hAnsi="仿宋_GB2312" w:eastAsia="仿宋_GB2312" w:cs="仿宋_GB2312"/>
          <w:b w:val="0"/>
          <w:bCs/>
          <w:color w:val="auto"/>
          <w:kern w:val="0"/>
          <w:sz w:val="32"/>
          <w:szCs w:val="32"/>
          <w:highlight w:val="none"/>
          <w:lang w:eastAsia="zh-CN"/>
        </w:rPr>
        <w:t>分</w:t>
      </w:r>
      <w:r>
        <w:rPr>
          <w:rFonts w:hint="eastAsia" w:ascii="仿宋_GB2312" w:hAnsi="仿宋_GB2312" w:eastAsia="仿宋_GB2312" w:cs="仿宋_GB2312"/>
          <w:b w:val="0"/>
          <w:bCs/>
          <w:color w:val="auto"/>
          <w:kern w:val="0"/>
          <w:sz w:val="32"/>
          <w:szCs w:val="32"/>
          <w:highlight w:val="none"/>
        </w:rPr>
        <w:t>获“全省新时代教书育人楷模”“安徽省教科文卫体系统师德先进个人”“安徽省脱贫攻坚先进个人”“6月份中国好人”等荣誉，2名外教分获安徽省“黄山友谊奖”和合肥市政府“友谊奖”。</w:t>
      </w:r>
    </w:p>
    <w:p>
      <w:pPr>
        <w:pStyle w:val="22"/>
        <w:keepNext w:val="0"/>
        <w:keepLines w:val="0"/>
        <w:pageBreakBefore w:val="0"/>
        <w:widowControl/>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（三）坚持“三业一体”发展，应用型人才培养建立新模式。</w:t>
      </w:r>
      <w:r>
        <w:rPr>
          <w:rFonts w:hint="eastAsia" w:ascii="仿宋_GB2312" w:hAnsi="仿宋_GB2312" w:eastAsia="仿宋_GB2312" w:cs="仿宋_GB2312"/>
          <w:bCs/>
          <w:color w:val="auto"/>
          <w:kern w:val="0"/>
          <w:sz w:val="32"/>
          <w:szCs w:val="32"/>
          <w:highlight w:val="none"/>
          <w:lang w:val="en-US" w:eastAsia="zh-CN" w:bidi="ar-SA"/>
        </w:rPr>
        <w:t>完善专业-就业-产业联动机制，优化专业布局，新增全国首个目录外新专业智慧交通等专业3个。新增国家级、省级一流专业建设点11个，累计达到26个。申报国家级一流课程7门。小学教育、自动化和数学与应用数学3个专业顺利通过国家专业认证。现代产业学院建设全面启动，轨道交通产业学院顺利揭牌开班，“大众学院”新能源汽车样板工厂工程师项目进展顺利，在家门口培养“种子工程师”，高等教育双元制改革持续深入</w:t>
      </w:r>
      <w:r>
        <w:rPr>
          <w:rFonts w:hint="eastAsia" w:ascii="仿宋_GB2312" w:hAnsi="仿宋_GB2312" w:eastAsia="仿宋_GB2312" w:cs="仿宋_GB2312"/>
          <w:b/>
          <w:bCs w:val="0"/>
          <w:color w:val="auto"/>
          <w:kern w:val="0"/>
          <w:sz w:val="32"/>
          <w:szCs w:val="32"/>
          <w:highlight w:val="none"/>
          <w:lang w:val="en-US" w:eastAsia="zh-CN" w:bidi="ar-SA"/>
        </w:rPr>
        <w:t>。</w:t>
      </w:r>
    </w:p>
    <w:p>
      <w:pPr>
        <w:pStyle w:val="22"/>
        <w:keepNext w:val="0"/>
        <w:keepLines w:val="0"/>
        <w:pageBreakBefore w:val="0"/>
        <w:widowControl/>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（四）坚持以学科建设为统领，学科与学位点建设呈现新格局。</w:t>
      </w:r>
      <w:r>
        <w:rPr>
          <w:rFonts w:hint="eastAsia" w:ascii="仿宋_GB2312" w:hAnsi="仿宋_GB2312" w:eastAsia="仿宋_GB2312" w:cs="仿宋_GB2312"/>
          <w:b w:val="0"/>
          <w:bCs/>
          <w:color w:val="auto"/>
          <w:kern w:val="0"/>
          <w:sz w:val="32"/>
          <w:szCs w:val="32"/>
          <w:highlight w:val="none"/>
          <w:lang w:val="en-US" w:eastAsia="zh-CN" w:bidi="ar-SA"/>
        </w:rPr>
        <w:t>落实全国研究生教育会议精神，举办首届学科与研究生教育大会。制定学位与研究生教育制度9个，修订14个，废止17个，制度体系日益完备。整合资源打造高峰培育学科，争取市财政每年给予1000万建设经费，实现高峰培育</w:t>
      </w:r>
      <w:r>
        <w:rPr>
          <w:rFonts w:hint="eastAsia" w:ascii="仿宋_GB2312" w:hAnsi="仿宋_GB2312" w:eastAsia="仿宋_GB2312" w:cs="仿宋_GB2312"/>
          <w:bCs/>
          <w:color w:val="auto"/>
          <w:kern w:val="0"/>
          <w:sz w:val="32"/>
          <w:szCs w:val="32"/>
          <w:highlight w:val="none"/>
          <w:lang w:val="en-US" w:eastAsia="zh-CN" w:bidi="ar-SA"/>
        </w:rPr>
        <w:t>学科建设零的突破。</w:t>
      </w:r>
    </w:p>
    <w:p>
      <w:pPr>
        <w:keepNext w:val="0"/>
        <w:keepLines w:val="0"/>
        <w:pageBreakBefore w:val="0"/>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（五）坚持服务地方发展大局，科研服务发展增添新活力。</w:t>
      </w:r>
      <w:r>
        <w:rPr>
          <w:rFonts w:hint="eastAsia" w:ascii="仿宋_GB2312" w:hAnsi="仿宋_GB2312" w:eastAsia="仿宋_GB2312" w:cs="仿宋_GB2312"/>
          <w:bCs/>
          <w:color w:val="auto"/>
          <w:kern w:val="0"/>
          <w:sz w:val="32"/>
          <w:szCs w:val="32"/>
          <w:highlight w:val="none"/>
          <w:lang w:val="en-US" w:eastAsia="zh-CN" w:bidi="ar-SA"/>
        </w:rPr>
        <w:t>加大与十大产业衔接力度，实施服务安徽省“三地一区”行动方案。强力推进产教融合项目建设，获批教育强国智能制造项目6000万和教育厅新增3249万建设资金支持。全年纵向科研项目立项234项，国家级科研项目7项。获省级科技成果奖9项。专利202项，其中发明专利109项，连续7年位居安徽省专利排行榜百强，位列高校第九位。科研与服务地方经费达到1.38亿，连续两年破亿，实现新高。巩固拓展脱贫攻坚成果与乡村振兴有效衔接，落实帮扶泗县项目6个，各类资金350余万，定点帮扶工作连续4年获“优秀”等次。深化与石台县、阜阳合肥现代产业园、黄山市等的合作，省委常委、统战部部长张西明对学校与石台的战略合作两次作出批示，指出这是“产教融合服务乡村振兴大局的一个亮点”“是投身乡村振兴实践、服务中心大局的生动事例，可以进一步总结推广”。</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（六）坚持对外开放，国际交流合作取得新进展。</w:t>
      </w:r>
      <w:r>
        <w:rPr>
          <w:rFonts w:hint="eastAsia" w:ascii="仿宋_GB2312" w:hAnsi="仿宋_GB2312" w:eastAsia="仿宋_GB2312" w:cs="仿宋_GB2312"/>
          <w:bCs/>
          <w:color w:val="auto"/>
          <w:kern w:val="0"/>
          <w:sz w:val="32"/>
          <w:szCs w:val="32"/>
          <w:highlight w:val="none"/>
          <w:lang w:val="en-US" w:eastAsia="zh-CN" w:bidi="ar-SA"/>
        </w:rPr>
        <w:t>中德教育合作示范基地“六大平台”建设稳步推进。与奥斯纳布吕克应用科学大学签订深化合作办学协议，实现学历教育从过去的单向留学到双向留学的突破。与上海开放大学、奥斯纳布吕克应用科学大学共建中德开放在线学习平台，已上线100余门课程，34万名学生参加学习，打造永不落幕的线上教学交流平台。圆满完成“长三角双元制教育国际合作研讨会”“海外华文教师线上研习班”“江淮海归高峰对接会”等重要外事活动，得到各界好评。高规格举办“第十四届中德应用型高等教育研讨会”，全国政协副主席、中国科协主席万钢出席并讲话。万钢主席在批示中指出：“研讨会效果很好，影响很大，前日率团访问德国，武尔夫前总统评价很高，希望持续推进，德方高校热情很高，望持续稳步推进，落实好各项共识”；郑栅洁书记在批示中充分肯定并指出：“好合作也有好成果，望进一步务实推进，不断扩大成效”；王清宪省长、虞爱华书记也均作肯定批示。中德110所高校、企业共400余人线上线下参会，规格和影响前所未有。学校荣获“全省教育外事工作先进单位”称号。</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（七）不断完善服务配套，要素保障水平得到新提高。</w:t>
      </w:r>
      <w:r>
        <w:rPr>
          <w:rFonts w:hint="eastAsia" w:ascii="仿宋_GB2312" w:hAnsi="仿宋_GB2312" w:eastAsia="仿宋_GB2312" w:cs="仿宋_GB2312"/>
          <w:bCs/>
          <w:color w:val="auto"/>
          <w:kern w:val="0"/>
          <w:sz w:val="32"/>
          <w:szCs w:val="32"/>
          <w:highlight w:val="none"/>
          <w:lang w:val="en-US" w:eastAsia="zh-CN" w:bidi="ar-SA"/>
        </w:rPr>
        <w:t>进一步加大经费统筹，预算资金近7.2亿元，财务信息化、科学化管理水平不断提升。1560万智慧校园建设项目基本完成，3000万元</w:t>
      </w:r>
      <w:r>
        <w:rPr>
          <w:rFonts w:hint="eastAsia" w:ascii="仿宋_GB2312" w:hAnsi="仿宋_GB2312" w:eastAsia="仿宋_GB2312" w:cs="仿宋_GB2312"/>
          <w:bCs/>
          <w:color w:val="auto"/>
          <w:kern w:val="0"/>
          <w:sz w:val="32"/>
          <w:szCs w:val="32"/>
          <w:highlight w:val="none"/>
          <w:lang w:val="zh-CN" w:eastAsia="zh-CN" w:bidi="ar-SA"/>
        </w:rPr>
        <w:t>校园水电管网改造工程</w:t>
      </w:r>
      <w:r>
        <w:rPr>
          <w:rFonts w:hint="eastAsia" w:ascii="仿宋_GB2312" w:hAnsi="仿宋_GB2312" w:eastAsia="仿宋_GB2312" w:cs="仿宋_GB2312"/>
          <w:bCs/>
          <w:color w:val="auto"/>
          <w:kern w:val="0"/>
          <w:sz w:val="32"/>
          <w:szCs w:val="32"/>
          <w:highlight w:val="none"/>
          <w:lang w:val="en-US" w:eastAsia="zh-CN" w:bidi="ar-SA"/>
        </w:rPr>
        <w:t>项目</w:t>
      </w:r>
      <w:r>
        <w:rPr>
          <w:rFonts w:hint="eastAsia" w:ascii="仿宋_GB2312" w:hAnsi="仿宋_GB2312" w:eastAsia="仿宋_GB2312" w:cs="仿宋_GB2312"/>
          <w:bCs/>
          <w:color w:val="auto"/>
          <w:kern w:val="0"/>
          <w:sz w:val="32"/>
          <w:szCs w:val="32"/>
          <w:highlight w:val="none"/>
          <w:lang w:val="zh-CN" w:eastAsia="zh-CN" w:bidi="ar-SA"/>
        </w:rPr>
        <w:t>完成设计方案论证，22部电梯更换正在进行，</w:t>
      </w:r>
      <w:r>
        <w:rPr>
          <w:rFonts w:hint="eastAsia" w:ascii="仿宋_GB2312" w:hAnsi="仿宋_GB2312" w:eastAsia="仿宋_GB2312" w:cs="仿宋_GB2312"/>
          <w:bCs/>
          <w:color w:val="auto"/>
          <w:kern w:val="0"/>
          <w:sz w:val="32"/>
          <w:szCs w:val="32"/>
          <w:highlight w:val="none"/>
          <w:lang w:val="en-US" w:eastAsia="zh-CN" w:bidi="ar-SA"/>
        </w:rPr>
        <w:t>新建学生公寓18号楼如期启用。学校荣获2021年度“安徽省高校采购先进集体”。绿色校园创建工作在全省考核中荣获第二名，作为六所高校之一入选第一批“安徽省绿色学校”。</w:t>
      </w:r>
    </w:p>
    <w:p>
      <w:pPr>
        <w:pStyle w:val="9"/>
        <w:keepNext w:val="0"/>
        <w:keepLines w:val="0"/>
        <w:pageBreakBefore w:val="0"/>
        <w:shd w:val="clear" w:color="auto" w:fill="FFFFFF"/>
        <w:tabs>
          <w:tab w:val="left" w:pos="0"/>
        </w:tabs>
        <w:kinsoku/>
        <w:wordWrap/>
        <w:overflowPunct/>
        <w:topLinePunct w:val="0"/>
        <w:autoSpaceDE/>
        <w:autoSpaceDN/>
        <w:bidi w:val="0"/>
        <w:snapToGrid w:val="0"/>
        <w:spacing w:beforeAutospacing="0" w:afterAutospacing="0" w:line="560" w:lineRule="exact"/>
        <w:ind w:firstLine="630" w:firstLineChars="196"/>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（八）坚持凝心聚力，汇聚发展正能量取得新成绩。</w:t>
      </w:r>
      <w:r>
        <w:rPr>
          <w:rFonts w:hint="eastAsia" w:ascii="仿宋_GB2312" w:hAnsi="仿宋_GB2312" w:eastAsia="仿宋_GB2312" w:cs="仿宋_GB2312"/>
          <w:bCs/>
          <w:color w:val="auto"/>
          <w:kern w:val="0"/>
          <w:sz w:val="32"/>
          <w:szCs w:val="32"/>
          <w:highlight w:val="none"/>
          <w:lang w:val="en-US" w:eastAsia="zh-CN" w:bidi="ar-SA"/>
        </w:rPr>
        <w:t>支持民主党派发挥作用。两人分别连任致公党、民革市委会主委，新任市委会常委、委员8人。两人当选十五届市政协副主席，新任市政协常委、委员3人。新任市人大常委1人。获批成为合肥市统一战线教育基地。深入推进群团组织改革，不断发挥工会、团委、基金会、校友办等在凝聚力量、统筹资源、促进交流等方面作用。关心离退休老同志，举办教职工荣退仪式，全年慰问老同志106人次。学校先后荣获“安徽省教科文卫体系统先进集体”“全国红十字模范单位”“全国高校活力团支部”“全省关工委思想道德教育工作先进集体”等荣誉称号。</w:t>
      </w:r>
    </w:p>
    <w:p>
      <w:pPr>
        <w:keepNext w:val="0"/>
        <w:keepLines w:val="0"/>
        <w:pageBreakBefore w:val="0"/>
        <w:tabs>
          <w:tab w:val="left" w:pos="0"/>
        </w:tabs>
        <w:kinsoku/>
        <w:wordWrap/>
        <w:overflowPunct/>
        <w:topLinePunct w:val="0"/>
        <w:autoSpaceDE/>
        <w:autoSpaceDN/>
        <w:bidi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（九）严格落实疫情防控责任制，积极做好疫情防控工作。</w:t>
      </w:r>
      <w:r>
        <w:rPr>
          <w:rFonts w:hint="eastAsia" w:ascii="仿宋_GB2312" w:hAnsi="仿宋_GB2312" w:eastAsia="仿宋_GB2312" w:cs="仿宋_GB2312"/>
          <w:bCs/>
          <w:color w:val="auto"/>
          <w:kern w:val="0"/>
          <w:sz w:val="32"/>
          <w:szCs w:val="32"/>
          <w:highlight w:val="none"/>
          <w:lang w:val="en-US" w:eastAsia="zh-CN" w:bidi="ar-SA"/>
        </w:rPr>
        <w:t>坚持常态化防控和应急处置相结合，严密构建三级防护体系，全年召开协调会19次，发布通知提醒12次，妥善处置发热、疫情风险排查108例，新冠疫苗接种完成率99.7%，组织完成两次全校核酸检测和第一批加强针接种工作。全力保障安徽省事业单位、公务员招聘等考试和安徽省“互联网+”大赛等重大活动在学校的组织实施，保证了学校稳定、师生健康、校园有序。</w:t>
      </w:r>
    </w:p>
    <w:p>
      <w:pPr>
        <w:pStyle w:val="9"/>
        <w:keepNext w:val="0"/>
        <w:keepLines w:val="0"/>
        <w:pageBreakBefore w:val="0"/>
        <w:shd w:val="clear" w:color="auto" w:fill="FFFFFF"/>
        <w:tabs>
          <w:tab w:val="left" w:pos="0"/>
        </w:tabs>
        <w:kinsoku/>
        <w:wordWrap/>
        <w:overflowPunct/>
        <w:topLinePunct w:val="0"/>
        <w:autoSpaceDE/>
        <w:autoSpaceDN/>
        <w:bidi w:val="0"/>
        <w:snapToGrid w:val="0"/>
        <w:spacing w:beforeAutospacing="0" w:afterAutospacing="0" w:line="560" w:lineRule="exact"/>
        <w:ind w:firstLine="630" w:firstLineChars="196"/>
        <w:jc w:val="both"/>
        <w:textAlignment w:val="auto"/>
        <w:rPr>
          <w:rFonts w:hint="eastAsia" w:ascii="仿宋_GB2312" w:hAnsi="仿宋_GB2312" w:eastAsia="仿宋_GB2312" w:cs="仿宋_GB2312"/>
          <w:bCs/>
          <w:color w:val="auto"/>
          <w:kern w:val="0"/>
          <w:sz w:val="32"/>
          <w:szCs w:val="32"/>
          <w:highlight w:val="none"/>
          <w:lang w:val="zh-CN" w:eastAsia="zh-CN" w:bidi="ar-SA"/>
        </w:rPr>
      </w:pPr>
      <w:r>
        <w:rPr>
          <w:rFonts w:hint="eastAsia" w:ascii="楷体" w:hAnsi="楷体" w:eastAsia="楷体" w:cs="楷体"/>
          <w:b/>
          <w:bCs w:val="0"/>
          <w:color w:val="auto"/>
          <w:kern w:val="0"/>
          <w:sz w:val="32"/>
          <w:szCs w:val="32"/>
          <w:highlight w:val="none"/>
          <w:lang w:val="en-US" w:eastAsia="zh-CN" w:bidi="ar-SA"/>
        </w:rPr>
        <w:t>（十）坚持党的全面领导，治理能力得到新提升。</w:t>
      </w:r>
      <w:r>
        <w:rPr>
          <w:rFonts w:hint="eastAsia" w:ascii="仿宋_GB2312" w:hAnsi="仿宋_GB2312" w:eastAsia="仿宋_GB2312" w:cs="仿宋_GB2312"/>
          <w:bCs/>
          <w:color w:val="auto"/>
          <w:kern w:val="0"/>
          <w:sz w:val="32"/>
          <w:szCs w:val="32"/>
          <w:highlight w:val="none"/>
          <w:lang w:val="en-US" w:eastAsia="zh-CN" w:bidi="ar-SA"/>
        </w:rPr>
        <w:t>学校衷心拥护“两个确立”，忠诚践行“两个维护”，把党史学习教育作为全年的重要政治任务，把学党史、悟思想、办实事、开新局贯穿全过程，经历了一次深刻的思想教育、政治历练、精神洗礼。发挥党委领导核心作用，注重顶层设计，编制实施“十四五”规划及党的建设等8个专项规划，为学校发展举旗定向。严格落实党委领导下的校长负责制，完善民主集中制，严格执行“三重一大”决策制度，全年召开校长办公会23次，研究事项186个，党委领导、分工协作、协调运行的工作机制不断健全。高标准完成十届省委第九轮巡视和中央巡视安徽反馈问题整改，以改促建成效明显。成立审计工作领导小组，推进审计全覆盖，各项审计成果得到及时有效运用。成立法治工作领导小组，聘用校内法律顾问3人，全年制定、修订制度77个，治理体系和治理能力现代化水平不断提升。</w:t>
      </w:r>
    </w:p>
    <w:p>
      <w:pPr>
        <w:keepNext w:val="0"/>
        <w:keepLines w:val="0"/>
        <w:pageBreakBefore w:val="0"/>
        <w:widowControl/>
        <w:shd w:val="clear" w:color="auto" w:fill="FFFFFF"/>
        <w:tabs>
          <w:tab w:val="left" w:pos="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各位代表，一年来取得的成绩，是习近平新时代中国特色社会主义思想科学指引的结果，是省委省政府和市委市政府坚强领导的结果，是省教育工委、省教育厅关心指导的结果，是社会各界大力支持的结果，是全校师生员工团结奋斗的结果。在此，我代表学校向各位代表和全体教职员工表示崇高的敬意和衷心的感谢！</w:t>
      </w:r>
    </w:p>
    <w:p>
      <w:pPr>
        <w:pStyle w:val="9"/>
        <w:keepNext w:val="0"/>
        <w:keepLines w:val="0"/>
        <w:pageBreakBefore w:val="0"/>
        <w:widowControl/>
        <w:tabs>
          <w:tab w:val="left" w:pos="0"/>
        </w:tabs>
        <w:kinsoku/>
        <w:wordWrap/>
        <w:overflowPunct/>
        <w:topLinePunct w:val="0"/>
        <w:autoSpaceDE/>
        <w:autoSpaceDN/>
        <w:bidi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在总结成绩的同时，我们也清醒地看到，学校发展还存在短板弱项：师资队伍的活力还需不断激发，高水平的创新团队有待持续打造，中外合作办学专业尚需扩量提质，校园治理体系有待进一步完善，为师生办实事机制还需不断优化等。我们要坚持问题导向，持续加强内涵建设，推进高水平应用型大学建设取得新突破。</w:t>
      </w:r>
    </w:p>
    <w:p>
      <w:pPr>
        <w:keepNext w:val="0"/>
        <w:keepLines w:val="0"/>
        <w:pageBreakBefore w:val="0"/>
        <w:widowControl/>
        <w:shd w:val="clear" w:color="auto" w:fill="FFFFFF"/>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黑体" w:hAnsi="黑体" w:eastAsia="黑体" w:cs="黑体"/>
          <w:b/>
          <w:bCs w:val="0"/>
          <w:color w:val="auto"/>
          <w:kern w:val="0"/>
          <w:sz w:val="32"/>
          <w:szCs w:val="32"/>
          <w:highlight w:val="none"/>
          <w:lang w:val="en-US" w:eastAsia="zh-CN" w:bidi="ar-SA"/>
        </w:rPr>
      </w:pPr>
      <w:r>
        <w:rPr>
          <w:rFonts w:hint="eastAsia" w:ascii="黑体" w:hAnsi="黑体" w:eastAsia="黑体" w:cs="黑体"/>
          <w:b/>
          <w:bCs w:val="0"/>
          <w:color w:val="auto"/>
          <w:kern w:val="0"/>
          <w:sz w:val="32"/>
          <w:szCs w:val="32"/>
          <w:highlight w:val="none"/>
          <w:lang w:val="en-US" w:eastAsia="zh-CN" w:bidi="ar-SA"/>
        </w:rPr>
        <w:t>二、2022年工作安排</w:t>
      </w:r>
    </w:p>
    <w:p>
      <w:pPr>
        <w:pStyle w:val="6"/>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今年将召开中国共产党第二十次全国代表大会，是奋进新时代、建功新征程中具有特殊意义的一年，也是学校大学更名、深化内涵建设的关键之年。</w:t>
      </w:r>
      <w:r>
        <w:rPr>
          <w:rFonts w:hint="eastAsia" w:ascii="仿宋_GB2312" w:hAnsi="仿宋_GB2312" w:eastAsia="仿宋_GB2312" w:cs="仿宋_GB2312"/>
          <w:b/>
          <w:bCs w:val="0"/>
          <w:color w:val="auto"/>
          <w:kern w:val="0"/>
          <w:sz w:val="32"/>
          <w:szCs w:val="32"/>
          <w:highlight w:val="none"/>
          <w:lang w:val="en-US" w:eastAsia="zh-CN" w:bidi="ar-SA"/>
        </w:rPr>
        <w:t>今年学校发展总体思路是：</w:t>
      </w:r>
      <w:r>
        <w:rPr>
          <w:rFonts w:hint="eastAsia" w:ascii="仿宋_GB2312" w:hAnsi="仿宋_GB2312" w:eastAsia="仿宋_GB2312" w:cs="仿宋_GB2312"/>
          <w:bCs/>
          <w:color w:val="auto"/>
          <w:kern w:val="0"/>
          <w:sz w:val="32"/>
          <w:szCs w:val="32"/>
          <w:highlight w:val="none"/>
          <w:lang w:val="en-US" w:eastAsia="zh-CN" w:bidi="ar-SA"/>
        </w:rPr>
        <w:t>坚持以习近平新时代中国特色社会主义思想为指导，深入学习贯彻党的十九大和十九届历次全会精神，认真贯彻落实习近平总书记关于教育的系列重要论述，统筹疫情防控和事业发展，以高质量发展为主题，以大学更名工作为抓手，以应用型人才培养模式改革为引擎，以服务“三地一区”建设为主线，弘扬伟大建党精神，在全力推动高水平应用型大学建设迈上新台阶中担当作为，以优异成绩迎接党的二十大胜利召开。具体来说，2022年，我们要在校党委的领导下重点抓好以下几方面的工作：</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（一）明确方向，勠力同心，争取干成“一件大事”</w:t>
      </w:r>
    </w:p>
    <w:p>
      <w:pPr>
        <w:pStyle w:val="6"/>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毫不松懈朝着实现大学更名的目标继续奋勇前进，进一步对标对表，以最严的要求，最高的标准，不断优化各项指标，主动对接，认真做好教育部专家组进校考察准备工作。以大学更名为抓手，加强顶层设计，全面提升办学实力，优化办学格局，增强影响力。</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（二）以人为本，强化主体，提高“两个质量”</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一是提高育人质量。</w:t>
      </w:r>
      <w:r>
        <w:rPr>
          <w:rFonts w:hint="eastAsia" w:ascii="仿宋_GB2312" w:hAnsi="仿宋_GB2312" w:eastAsia="仿宋_GB2312" w:cs="仿宋_GB2312"/>
          <w:bCs/>
          <w:color w:val="auto"/>
          <w:kern w:val="0"/>
          <w:sz w:val="32"/>
          <w:szCs w:val="32"/>
          <w:highlight w:val="none"/>
          <w:lang w:val="en-US" w:eastAsia="zh-CN" w:bidi="ar-SA"/>
        </w:rPr>
        <w:t>完善“十大育人”体系，构建精准思政工作体制和多维协同的一体化育人模式。加强“智慧学工”系统建设，持续完善“一站式”学生社区综合管理模式，引导学生服务管理与思政教育工作下沉。注重加强学风、班风建设。提高研究生升学率和升学质量。拓宽就业渠道，落实就业帮扶举措，实现更加充分更高质量就业，确保毕业生就业率继续稳居全省本科高校前列。</w:t>
      </w:r>
    </w:p>
    <w:p>
      <w:pPr>
        <w:pStyle w:val="21"/>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二是提高教师队伍建设质量。</w:t>
      </w:r>
      <w:r>
        <w:rPr>
          <w:rFonts w:hint="eastAsia" w:ascii="仿宋_GB2312" w:hAnsi="仿宋_GB2312" w:eastAsia="仿宋_GB2312" w:cs="仿宋_GB2312"/>
          <w:bCs/>
          <w:color w:val="auto"/>
          <w:kern w:val="0"/>
          <w:sz w:val="32"/>
          <w:szCs w:val="32"/>
          <w:highlight w:val="none"/>
          <w:lang w:val="en-US" w:eastAsia="zh-CN" w:bidi="ar-SA"/>
        </w:rPr>
        <w:t>坚持人才引进与培育并重，持续做好高层次人才引进工作，加大学科带头人和领军人才引进力度，力争全年引进博士70人，全校博士比达到39%。加大改革力度，不断完善“年薪制”、绩效分配制度和评聘制度，构建政策育人、团队育人、制度育人的全方位教师培养体系，着力加强青年教师、研究生导师、“双能型”教师、思政课专职教师队伍建设。持续加强师德师风建设，突出全员全方位全过程师德养成，严格实行师德师风“一票否决”。</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（三）科学谋划，守正创新，深化“三项改革”</w:t>
      </w:r>
    </w:p>
    <w:p>
      <w:pPr>
        <w:pStyle w:val="21"/>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一是深化“三业一体”人才培养模式改革。</w:t>
      </w:r>
      <w:r>
        <w:rPr>
          <w:rFonts w:hint="eastAsia" w:ascii="仿宋_GB2312" w:hAnsi="仿宋_GB2312" w:eastAsia="仿宋_GB2312" w:cs="仿宋_GB2312"/>
          <w:bCs/>
          <w:color w:val="auto"/>
          <w:kern w:val="0"/>
          <w:sz w:val="32"/>
          <w:szCs w:val="32"/>
          <w:highlight w:val="none"/>
          <w:lang w:val="en-US" w:eastAsia="zh-CN" w:bidi="ar-SA"/>
        </w:rPr>
        <w:t>进一步推动专业层面的“双元制”高等教育内涵建设，推进大众学院建设。以服务“三地一区”建设为目标，加强新兴交叉学科专业和应用学科专业建设，积极申报新工科、新文科专业建设项目，做好一流专业建设点中期检查工作。持续构建“模块池”专业课程体系，积极申报国家级一流本科课程。完善现代产业学院管理架构和运行机制，力争挂牌2个产业学院。推进国家产教融合创新平台建设，充分利用教育强国推进工程经费，做好重大项目建设。积极申报国家教学成果奖。</w:t>
      </w:r>
    </w:p>
    <w:p>
      <w:pPr>
        <w:pStyle w:val="21"/>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二是深化教育教学改革。</w:t>
      </w:r>
      <w:r>
        <w:rPr>
          <w:rFonts w:hint="eastAsia" w:ascii="仿宋_GB2312" w:hAnsi="仿宋_GB2312" w:eastAsia="仿宋_GB2312" w:cs="仿宋_GB2312"/>
          <w:bCs/>
          <w:color w:val="auto"/>
          <w:kern w:val="0"/>
          <w:sz w:val="32"/>
          <w:szCs w:val="32"/>
          <w:highlight w:val="none"/>
          <w:lang w:val="en-US" w:eastAsia="zh-CN" w:bidi="ar-SA"/>
        </w:rPr>
        <w:t>全面落实《德智体美劳“五大行动”全面提高育人质量工作方案》，进一步深化“三全育人”综合改革试点工作和安徽省高校网络思想政治工作中心试点建设工作，实施人才培养方案修订和学分调减方案，优化体育艺术俱乐部、实践教学、创新创业工作机制，推进劳动教育、生态文明教育、国防教育等融入育人全过程。大力推进“互联网+教育”，改革教学模式，丰富数字资源。加强基层教学组织建设，组织申报省级“双基”建设示范校项目。全面对接新时代教育评价、教育督导体制机制改革要求，做好软件工程等专业的专业认证工作，不断提升本科教育教学质量。</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三是深化校内管理体制改革。</w:t>
      </w:r>
      <w:r>
        <w:rPr>
          <w:rFonts w:hint="eastAsia" w:ascii="仿宋_GB2312" w:hAnsi="仿宋_GB2312" w:eastAsia="仿宋_GB2312" w:cs="仿宋_GB2312"/>
          <w:bCs/>
          <w:color w:val="auto"/>
          <w:kern w:val="0"/>
          <w:sz w:val="32"/>
          <w:szCs w:val="32"/>
          <w:highlight w:val="none"/>
          <w:lang w:val="en-US" w:eastAsia="zh-CN" w:bidi="ar-SA"/>
        </w:rPr>
        <w:t>深入开展依法治校，在完善大学章程、规范责权利、合法性审查、督查督办重大决策落实等方面不断着力。积极推进人事制度改革，制定实施“三定”方案，健全统筹高效的岗位管理制度，优化资源配置，激发人员活力。制定符合学校发展需求的职称评审条件、考核评价办法，形成“以岗定薪、优劳优酬”的绩效工资分配办法。持续推进管理重心向院系转移，扩大二级单位办学自主权，明确责权利。持续健全三级外事工作体制，实现重心下移、协同分工运行机制。进一步加强继续教育管理，实施管办分离。</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（四）集聚资源，抓住关键，强化“四种能力”</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一是强化学科建设能力。</w:t>
      </w:r>
      <w:r>
        <w:rPr>
          <w:rFonts w:hint="eastAsia" w:ascii="仿宋_GB2312" w:hAnsi="仿宋_GB2312" w:eastAsia="仿宋_GB2312" w:cs="仿宋_GB2312"/>
          <w:bCs/>
          <w:color w:val="auto"/>
          <w:kern w:val="0"/>
          <w:sz w:val="32"/>
          <w:szCs w:val="32"/>
          <w:highlight w:val="none"/>
          <w:lang w:val="en-US" w:eastAsia="zh-CN" w:bidi="ar-SA"/>
        </w:rPr>
        <w:t>学科建设是学校的龙头工作，要统筹推进学科和学位点建设，积极开展校级学科建设、学科带头人和优秀青年学术骨干的遴选，加强省级高峰培育学科建设，取得关键指标突破。材料与化工、资源与环境两个专业学位点做好迎评工作，提前准备全国第六轮学科评估。完善研究生管理制度和信息化建设，加强质量工程项目立项以及科技创新项目立项建设。</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二是强化科研创新能力。</w:t>
      </w:r>
      <w:r>
        <w:rPr>
          <w:rFonts w:hint="eastAsia" w:ascii="仿宋_GB2312" w:hAnsi="仿宋_GB2312" w:eastAsia="仿宋_GB2312" w:cs="仿宋_GB2312"/>
          <w:bCs/>
          <w:color w:val="auto"/>
          <w:kern w:val="0"/>
          <w:sz w:val="32"/>
          <w:szCs w:val="32"/>
          <w:highlight w:val="none"/>
          <w:lang w:val="en-US" w:eastAsia="zh-CN" w:bidi="ar-SA"/>
        </w:rPr>
        <w:t>进一步完善科研制度，充分释放创新活力，持续打造高水平科研平台和团队。力争申报省市级以上科研平台2个以上，在省重点实验室建设上取得突破。每个二级学院凝练1-3个方向的特色科研团队。稳步增长高水平科研项目、成果数量，纵向项目力争省部级以上项目达70项以上，力争获省部级奖励6项。授权发明专利30件以上，继续位居安徽省专利排行榜前列。科研与服务地方经费在1亿元以上。</w:t>
      </w:r>
    </w:p>
    <w:p>
      <w:pPr>
        <w:pStyle w:val="21"/>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三是强化国际交流合作能力。</w:t>
      </w:r>
      <w:r>
        <w:rPr>
          <w:rFonts w:hint="eastAsia" w:ascii="仿宋_GB2312" w:hAnsi="仿宋_GB2312" w:eastAsia="仿宋_GB2312" w:cs="仿宋_GB2312"/>
          <w:bCs/>
          <w:color w:val="auto"/>
          <w:kern w:val="0"/>
          <w:sz w:val="32"/>
          <w:szCs w:val="32"/>
          <w:highlight w:val="none"/>
          <w:lang w:val="en-US" w:eastAsia="zh-CN" w:bidi="ar-SA"/>
        </w:rPr>
        <w:t>开展服务“三地一区”建设的国际学术文化交流，办好第十五届中德应用型高等教育研讨会等国际学术交流会议。加强中德教育合作示范基地项目谋划，推进基地建设提速增效。持续打造“中德在线开放学习平台”，深度融入长三角一体化发展，打造中德在线教育、文化交流的线上学校。推进“安徽省中外语言文化中心”建设。做好来华留学质量认证的新一轮认证工作，拓宽与德国等高校的专业合作领域，积极推进中外合作办学项目和机构的申报，稳步扩大国际学生教育规模。</w:t>
      </w:r>
    </w:p>
    <w:p>
      <w:pPr>
        <w:pStyle w:val="21"/>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四是强化创新创业教育能力。</w:t>
      </w:r>
      <w:r>
        <w:rPr>
          <w:rFonts w:hint="eastAsia" w:ascii="仿宋_GB2312" w:hAnsi="仿宋_GB2312" w:eastAsia="仿宋_GB2312" w:cs="仿宋_GB2312"/>
          <w:bCs/>
          <w:color w:val="auto"/>
          <w:kern w:val="0"/>
          <w:sz w:val="32"/>
          <w:szCs w:val="32"/>
          <w:highlight w:val="none"/>
          <w:lang w:val="en-US" w:eastAsia="zh-CN" w:bidi="ar-SA"/>
        </w:rPr>
        <w:t>落实《国务院办公厅关于进一步支持大学生创新创业的指导意见》，将创新创业教育贯穿人才培养全过程，完善学校创新创业教育质量评价标准。强化导师队伍建设管理，加强学科技能竞赛平台和团队建设工作。进一步优化创业课程体系，建设“专创融合”特色示范课程。着力提高创新创业获奖项目质量和层次，支持成果转化，形成创新创业示范效应。</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val="0"/>
          <w:color w:val="auto"/>
          <w:kern w:val="0"/>
          <w:sz w:val="32"/>
          <w:szCs w:val="32"/>
          <w:highlight w:val="none"/>
          <w:lang w:val="en-US" w:eastAsia="zh-CN" w:bidi="ar-SA"/>
        </w:rPr>
      </w:pPr>
      <w:r>
        <w:rPr>
          <w:rFonts w:hint="eastAsia" w:ascii="楷体" w:hAnsi="楷体" w:eastAsia="楷体" w:cs="楷体"/>
          <w:b/>
          <w:bCs w:val="0"/>
          <w:color w:val="auto"/>
          <w:kern w:val="0"/>
          <w:sz w:val="32"/>
          <w:szCs w:val="32"/>
          <w:highlight w:val="none"/>
          <w:lang w:val="en-US" w:eastAsia="zh-CN" w:bidi="ar-SA"/>
        </w:rPr>
        <w:t>（五）协同联动，强化保障，抓好“五项工程”</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一是抓好校园安全稳定工程。</w:t>
      </w:r>
      <w:r>
        <w:rPr>
          <w:rFonts w:hint="eastAsia" w:ascii="仿宋_GB2312" w:hAnsi="仿宋_GB2312" w:eastAsia="仿宋_GB2312" w:cs="仿宋_GB2312"/>
          <w:bCs/>
          <w:color w:val="auto"/>
          <w:kern w:val="0"/>
          <w:sz w:val="32"/>
          <w:szCs w:val="32"/>
          <w:highlight w:val="none"/>
          <w:lang w:val="en-US" w:eastAsia="zh-CN" w:bidi="ar-SA"/>
        </w:rPr>
        <w:fldChar w:fldCharType="begin"/>
      </w:r>
      <w:r>
        <w:rPr>
          <w:rFonts w:hint="eastAsia" w:ascii="仿宋_GB2312" w:hAnsi="仿宋_GB2312" w:eastAsia="仿宋_GB2312" w:cs="仿宋_GB2312"/>
          <w:bCs/>
          <w:color w:val="auto"/>
          <w:kern w:val="0"/>
          <w:sz w:val="32"/>
          <w:szCs w:val="32"/>
          <w:highlight w:val="none"/>
          <w:lang w:val="en-US" w:eastAsia="zh-CN" w:bidi="ar-SA"/>
        </w:rPr>
        <w:instrText xml:space="preserve"> HYPERLINK "http://www.baidu.com/link?url=BySirswdVLHNcaG7Zl_0BFLzxvb22fahjJ8bhaNdAwA5fhycN4FyF9wevFUlljS8R0dJ6KxcySLySr79RFVhY2XgQXOLu74g87zClCiKFlS" \t "https://www.baidu.com/_blank" </w:instrText>
      </w:r>
      <w:r>
        <w:rPr>
          <w:rFonts w:hint="eastAsia" w:ascii="仿宋_GB2312" w:hAnsi="仿宋_GB2312" w:eastAsia="仿宋_GB2312" w:cs="仿宋_GB2312"/>
          <w:bCs/>
          <w:color w:val="auto"/>
          <w:kern w:val="0"/>
          <w:sz w:val="32"/>
          <w:szCs w:val="32"/>
          <w:highlight w:val="none"/>
          <w:lang w:val="en-US" w:eastAsia="zh-CN" w:bidi="ar-SA"/>
        </w:rPr>
        <w:fldChar w:fldCharType="separate"/>
      </w:r>
      <w:r>
        <w:rPr>
          <w:rFonts w:hint="eastAsia" w:ascii="仿宋_GB2312" w:hAnsi="仿宋_GB2312" w:eastAsia="仿宋_GB2312" w:cs="仿宋_GB2312"/>
          <w:bCs/>
          <w:color w:val="auto"/>
          <w:kern w:val="0"/>
          <w:sz w:val="32"/>
          <w:szCs w:val="32"/>
          <w:highlight w:val="none"/>
          <w:lang w:val="en-US" w:eastAsia="zh-CN" w:bidi="ar-SA"/>
        </w:rPr>
        <w:t>疫情防控是当前压倒一切的头等大事</w:t>
      </w:r>
      <w:r>
        <w:rPr>
          <w:rFonts w:hint="eastAsia" w:ascii="仿宋_GB2312" w:hAnsi="仿宋_GB2312" w:eastAsia="仿宋_GB2312" w:cs="仿宋_GB2312"/>
          <w:bCs/>
          <w:color w:val="auto"/>
          <w:kern w:val="0"/>
          <w:sz w:val="32"/>
          <w:szCs w:val="32"/>
          <w:highlight w:val="none"/>
          <w:lang w:val="en-US" w:eastAsia="zh-CN" w:bidi="ar-SA"/>
        </w:rPr>
        <w:fldChar w:fldCharType="end"/>
      </w:r>
      <w:r>
        <w:rPr>
          <w:rFonts w:hint="eastAsia" w:ascii="仿宋_GB2312" w:hAnsi="仿宋_GB2312" w:eastAsia="仿宋_GB2312" w:cs="仿宋_GB2312"/>
          <w:bCs/>
          <w:color w:val="auto"/>
          <w:kern w:val="0"/>
          <w:sz w:val="32"/>
          <w:szCs w:val="32"/>
          <w:highlight w:val="none"/>
          <w:lang w:val="en-US" w:eastAsia="zh-CN" w:bidi="ar-SA"/>
        </w:rPr>
        <w:t>，要持续优化疫情防控机制和措施，落实落细做好疫情防控工作，坚决做到守土有责、守土尽责、守土负责。完善信访工作闭环式、清单式管理机制，依法合规解决师生诉求。落实消防安全、实验室安全、防范邪教渗透、反校园诈骗、机要保密等工作责任制和责任追究制，提升校园综合治理和应急处突水平，积极打造“平安校园”。</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二是抓好校地合作共建工程。</w:t>
      </w:r>
      <w:r>
        <w:rPr>
          <w:rFonts w:hint="eastAsia" w:ascii="仿宋_GB2312" w:hAnsi="仿宋_GB2312" w:eastAsia="仿宋_GB2312" w:cs="仿宋_GB2312"/>
          <w:bCs/>
          <w:color w:val="auto"/>
          <w:kern w:val="0"/>
          <w:sz w:val="32"/>
          <w:szCs w:val="32"/>
          <w:highlight w:val="none"/>
          <w:lang w:val="en-US" w:eastAsia="zh-CN" w:bidi="ar-SA"/>
        </w:rPr>
        <w:t>密切校地联系，统筹教育资源，积极推动与合肥市、黄山市、石台县等的战略合作，加大专家库建设力度。巩固拓展乡村振兴工作，落实定点帮扶泗县和皖西经济技术学校各项举措。稳定学历继续教育办学规模，推动非学历教育培训增量提质，助力终身教育体系和学习型城市建设。</w:t>
      </w:r>
    </w:p>
    <w:p>
      <w:pPr>
        <w:keepNext w:val="0"/>
        <w:keepLines w:val="0"/>
        <w:pageBreakBefore w:val="0"/>
        <w:tabs>
          <w:tab w:val="left" w:pos="0"/>
        </w:tabs>
        <w:kinsoku/>
        <w:wordWrap/>
        <w:overflowPunct/>
        <w:topLinePunct w:val="0"/>
        <w:autoSpaceDE/>
        <w:autoSpaceDN/>
        <w:bidi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三是抓好校园建设重点工程。</w:t>
      </w:r>
      <w:r>
        <w:rPr>
          <w:rFonts w:hint="eastAsia" w:ascii="仿宋_GB2312" w:hAnsi="仿宋_GB2312" w:eastAsia="仿宋_GB2312" w:cs="仿宋_GB2312"/>
          <w:bCs/>
          <w:color w:val="auto"/>
          <w:kern w:val="0"/>
          <w:sz w:val="32"/>
          <w:szCs w:val="32"/>
          <w:highlight w:val="none"/>
          <w:lang w:val="en-US" w:eastAsia="zh-CN" w:bidi="ar-SA"/>
        </w:rPr>
        <w:t>积极申报公益性项目，加强教学环境改造等的申报力度。持续打造“智慧校园”，提升数据信息共享质量。完成大学生活动中心、游泳馆、电梯更换等建设项目。落实实验室等资源开放共享机制，提高利用效率。持续做好省级“绿色学校”建设。</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四是抓好校园文化引领工程。</w:t>
      </w:r>
      <w:r>
        <w:rPr>
          <w:rFonts w:hint="eastAsia" w:ascii="仿宋_GB2312" w:hAnsi="仿宋_GB2312" w:eastAsia="仿宋_GB2312" w:cs="仿宋_GB2312"/>
          <w:bCs/>
          <w:color w:val="auto"/>
          <w:kern w:val="0"/>
          <w:sz w:val="32"/>
          <w:szCs w:val="32"/>
          <w:highlight w:val="none"/>
          <w:lang w:val="en-US" w:eastAsia="zh-CN" w:bidi="ar-SA"/>
        </w:rPr>
        <w:t>以大学更名为契机，做好校园场所标识、校史馆建设等工作，丰富校园文化创意资源，鼓励院系依据自身特色营造专业文化氛围。加强校史档案材料收集和信息资源建设，全面梳理学校办学特色和办学成果。积极开展“南艳湖大讲堂”等学术活动，浓厚学术氛围。开展宪法学习宣传教育、国家通用语言文字普及提升等各类校园活动。拓展图书馆在育人和文化传承方面的作用，加强校院两级自习室和阅览室建设，一体打造“书香校园”。</w:t>
      </w:r>
    </w:p>
    <w:p>
      <w:pPr>
        <w:keepNext w:val="0"/>
        <w:keepLines w:val="0"/>
        <w:pageBreakBefore w:val="0"/>
        <w:tabs>
          <w:tab w:val="left" w:pos="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五是抓好校园凝心聚力工程。</w:t>
      </w:r>
      <w:r>
        <w:rPr>
          <w:rFonts w:hint="eastAsia" w:ascii="仿宋_GB2312" w:hAnsi="仿宋_GB2312" w:eastAsia="仿宋_GB2312" w:cs="仿宋_GB2312"/>
          <w:bCs/>
          <w:color w:val="auto"/>
          <w:kern w:val="0"/>
          <w:sz w:val="32"/>
          <w:szCs w:val="32"/>
          <w:highlight w:val="none"/>
          <w:lang w:val="en-US" w:eastAsia="zh-CN" w:bidi="ar-SA"/>
        </w:rPr>
        <w:t>全面贯彻落实党委领导下的校长负责制，健全多元主体参与的民主管理机制，积极发挥民主党派、无党派人士作用，认真做好社科联工作。推进院系两级“教工之家”建设，发挥工会桥梁纽带作用。加大对校友的走访联络力度，扩大中德教育合作基金会资金规模及影响力。做好财务、审计和资产管理工作，提升资金资产使用效率。持续转变工作作风，完善为师生办实事、优环境各项机制。落实好离退休老同志政治和生活待遇，做好节假日慰问、助困助学、拥军拥属等关爱师生工作，推动“幸福校园”建设。</w:t>
      </w:r>
    </w:p>
    <w:p>
      <w:pPr>
        <w:pStyle w:val="6"/>
        <w:keepNext w:val="0"/>
        <w:keepLines w:val="0"/>
        <w:pageBreakBefore w:val="0"/>
        <w:tabs>
          <w:tab w:val="left" w:pos="0"/>
        </w:tabs>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bCs/>
          <w:color w:val="auto"/>
          <w:kern w:val="0"/>
          <w:sz w:val="32"/>
          <w:szCs w:val="32"/>
          <w:highlight w:val="none"/>
          <w:lang w:val="en-US" w:eastAsia="zh-CN" w:bidi="ar-SA"/>
        </w:rPr>
      </w:pPr>
      <w:r>
        <w:rPr>
          <w:rFonts w:hint="eastAsia" w:ascii="仿宋_GB2312" w:hAnsi="仿宋_GB2312" w:eastAsia="仿宋_GB2312" w:cs="仿宋_GB2312"/>
          <w:bCs/>
          <w:color w:val="auto"/>
          <w:kern w:val="0"/>
          <w:sz w:val="32"/>
          <w:szCs w:val="32"/>
          <w:highlight w:val="none"/>
          <w:lang w:val="en-US" w:eastAsia="zh-CN" w:bidi="ar-SA"/>
        </w:rPr>
        <w:t>各位代表，团结就是力量，奋斗开创未来。当前，学校正处于承前启后、继往开来的发展关键期，时间不等人，机遇不等人，发展不等人，让我们在学校党委的坚强领导下，认真学习贯彻落实习近平新时代中国特色社会主义思想，坚守为党育人、为国育才的初心使命，弘扬伟大建党精神，紧盯全年目标任务，踔厉奋发，笃行不怠，努力在培养高素质人才、创建高水平大学、推动教育高质量发展中出色、出彩、出众，以优异成绩迎接党的二十大胜</w:t>
      </w:r>
      <w:bookmarkStart w:id="2" w:name="_GoBack"/>
      <w:bookmarkEnd w:id="2"/>
      <w:r>
        <w:rPr>
          <w:rFonts w:hint="eastAsia" w:ascii="仿宋_GB2312" w:hAnsi="仿宋_GB2312" w:eastAsia="仿宋_GB2312" w:cs="仿宋_GB2312"/>
          <w:bCs/>
          <w:color w:val="auto"/>
          <w:kern w:val="0"/>
          <w:sz w:val="32"/>
          <w:szCs w:val="32"/>
          <w:highlight w:val="none"/>
          <w:lang w:val="en-US" w:eastAsia="zh-CN" w:bidi="ar-SA"/>
        </w:rPr>
        <w:t>利召开。</w:t>
      </w:r>
    </w:p>
    <w:sectPr>
      <w:footerReference r:id="rId3"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2B"/>
    <w:rsid w:val="00017227"/>
    <w:rsid w:val="00052B33"/>
    <w:rsid w:val="00060523"/>
    <w:rsid w:val="0006782A"/>
    <w:rsid w:val="00071142"/>
    <w:rsid w:val="000804A6"/>
    <w:rsid w:val="00081B57"/>
    <w:rsid w:val="000879E9"/>
    <w:rsid w:val="00094083"/>
    <w:rsid w:val="000A6913"/>
    <w:rsid w:val="000F438C"/>
    <w:rsid w:val="00141843"/>
    <w:rsid w:val="001863FB"/>
    <w:rsid w:val="00196B3B"/>
    <w:rsid w:val="001B3D83"/>
    <w:rsid w:val="001C0655"/>
    <w:rsid w:val="001C5893"/>
    <w:rsid w:val="001D1093"/>
    <w:rsid w:val="001E0A92"/>
    <w:rsid w:val="001E25F0"/>
    <w:rsid w:val="00207FD1"/>
    <w:rsid w:val="002245E1"/>
    <w:rsid w:val="00225BD9"/>
    <w:rsid w:val="0024586F"/>
    <w:rsid w:val="0026622B"/>
    <w:rsid w:val="00266A4A"/>
    <w:rsid w:val="002A7959"/>
    <w:rsid w:val="002F0C78"/>
    <w:rsid w:val="0033162E"/>
    <w:rsid w:val="00335934"/>
    <w:rsid w:val="00350C3A"/>
    <w:rsid w:val="00357B8C"/>
    <w:rsid w:val="00371CF0"/>
    <w:rsid w:val="00374959"/>
    <w:rsid w:val="003A2B2B"/>
    <w:rsid w:val="003A393E"/>
    <w:rsid w:val="003C42CC"/>
    <w:rsid w:val="003D20EA"/>
    <w:rsid w:val="003E2A66"/>
    <w:rsid w:val="00411A1F"/>
    <w:rsid w:val="0041637E"/>
    <w:rsid w:val="00424596"/>
    <w:rsid w:val="0046289F"/>
    <w:rsid w:val="00465083"/>
    <w:rsid w:val="00466644"/>
    <w:rsid w:val="00475323"/>
    <w:rsid w:val="00475730"/>
    <w:rsid w:val="004F0EA5"/>
    <w:rsid w:val="0051184E"/>
    <w:rsid w:val="00511934"/>
    <w:rsid w:val="005377EF"/>
    <w:rsid w:val="00564FF9"/>
    <w:rsid w:val="00575D84"/>
    <w:rsid w:val="00580A71"/>
    <w:rsid w:val="005958EC"/>
    <w:rsid w:val="00595D20"/>
    <w:rsid w:val="005B476B"/>
    <w:rsid w:val="005C5C5D"/>
    <w:rsid w:val="005D39DA"/>
    <w:rsid w:val="005D64AB"/>
    <w:rsid w:val="005E195D"/>
    <w:rsid w:val="005E2507"/>
    <w:rsid w:val="0064648F"/>
    <w:rsid w:val="0065186D"/>
    <w:rsid w:val="00656BAD"/>
    <w:rsid w:val="006A038A"/>
    <w:rsid w:val="006D7137"/>
    <w:rsid w:val="006E605F"/>
    <w:rsid w:val="006E7CC5"/>
    <w:rsid w:val="007071B2"/>
    <w:rsid w:val="00713EFE"/>
    <w:rsid w:val="00724E3B"/>
    <w:rsid w:val="00735A0F"/>
    <w:rsid w:val="007418E8"/>
    <w:rsid w:val="00754CB8"/>
    <w:rsid w:val="00756C8D"/>
    <w:rsid w:val="00776A16"/>
    <w:rsid w:val="0079665D"/>
    <w:rsid w:val="007970CC"/>
    <w:rsid w:val="007A132B"/>
    <w:rsid w:val="007A5C97"/>
    <w:rsid w:val="007D3E35"/>
    <w:rsid w:val="007E670D"/>
    <w:rsid w:val="00805683"/>
    <w:rsid w:val="0081171F"/>
    <w:rsid w:val="008219CE"/>
    <w:rsid w:val="00834398"/>
    <w:rsid w:val="00841569"/>
    <w:rsid w:val="00851F45"/>
    <w:rsid w:val="008960AC"/>
    <w:rsid w:val="008977E2"/>
    <w:rsid w:val="008B4931"/>
    <w:rsid w:val="008E1921"/>
    <w:rsid w:val="00901433"/>
    <w:rsid w:val="00901ACC"/>
    <w:rsid w:val="00925DA4"/>
    <w:rsid w:val="00934B95"/>
    <w:rsid w:val="009470C3"/>
    <w:rsid w:val="00952B83"/>
    <w:rsid w:val="00974A01"/>
    <w:rsid w:val="009876B0"/>
    <w:rsid w:val="009C5BE0"/>
    <w:rsid w:val="009D1DE3"/>
    <w:rsid w:val="009E1EBA"/>
    <w:rsid w:val="009E6C51"/>
    <w:rsid w:val="00A03F11"/>
    <w:rsid w:val="00A14DF9"/>
    <w:rsid w:val="00A26182"/>
    <w:rsid w:val="00A50B14"/>
    <w:rsid w:val="00A51D42"/>
    <w:rsid w:val="00A55183"/>
    <w:rsid w:val="00A65372"/>
    <w:rsid w:val="00A753DE"/>
    <w:rsid w:val="00AA164D"/>
    <w:rsid w:val="00AC77D0"/>
    <w:rsid w:val="00AE358A"/>
    <w:rsid w:val="00B34B75"/>
    <w:rsid w:val="00B50F54"/>
    <w:rsid w:val="00B546E9"/>
    <w:rsid w:val="00B576E4"/>
    <w:rsid w:val="00B72A6F"/>
    <w:rsid w:val="00B732AB"/>
    <w:rsid w:val="00B74835"/>
    <w:rsid w:val="00B865F8"/>
    <w:rsid w:val="00B9515F"/>
    <w:rsid w:val="00BA336B"/>
    <w:rsid w:val="00BD2512"/>
    <w:rsid w:val="00C00F64"/>
    <w:rsid w:val="00C21189"/>
    <w:rsid w:val="00C30535"/>
    <w:rsid w:val="00C8030F"/>
    <w:rsid w:val="00C92BD4"/>
    <w:rsid w:val="00C93E42"/>
    <w:rsid w:val="00CB078C"/>
    <w:rsid w:val="00CB3E8B"/>
    <w:rsid w:val="00CC045D"/>
    <w:rsid w:val="00CE45E4"/>
    <w:rsid w:val="00CF4013"/>
    <w:rsid w:val="00D0648A"/>
    <w:rsid w:val="00D067A8"/>
    <w:rsid w:val="00D13EBF"/>
    <w:rsid w:val="00D42F94"/>
    <w:rsid w:val="00D57DFC"/>
    <w:rsid w:val="00D70BFD"/>
    <w:rsid w:val="00D74E97"/>
    <w:rsid w:val="00D8116D"/>
    <w:rsid w:val="00D94C21"/>
    <w:rsid w:val="00D956E2"/>
    <w:rsid w:val="00DA2814"/>
    <w:rsid w:val="00DB220C"/>
    <w:rsid w:val="00DC50E9"/>
    <w:rsid w:val="00DD486C"/>
    <w:rsid w:val="00DE0002"/>
    <w:rsid w:val="00DE20EB"/>
    <w:rsid w:val="00E14ABE"/>
    <w:rsid w:val="00E152D6"/>
    <w:rsid w:val="00E36858"/>
    <w:rsid w:val="00E80FB2"/>
    <w:rsid w:val="00E8457D"/>
    <w:rsid w:val="00EA4A90"/>
    <w:rsid w:val="00F0038C"/>
    <w:rsid w:val="00F024A1"/>
    <w:rsid w:val="00F37022"/>
    <w:rsid w:val="00F507FD"/>
    <w:rsid w:val="00FA2A34"/>
    <w:rsid w:val="00FC092C"/>
    <w:rsid w:val="00FC4B58"/>
    <w:rsid w:val="00FE6C65"/>
    <w:rsid w:val="04DD2791"/>
    <w:rsid w:val="0CBB7596"/>
    <w:rsid w:val="164765B3"/>
    <w:rsid w:val="1FDC2AF9"/>
    <w:rsid w:val="24290788"/>
    <w:rsid w:val="293E44F5"/>
    <w:rsid w:val="394C2D6D"/>
    <w:rsid w:val="3A3C0888"/>
    <w:rsid w:val="3CEC772E"/>
    <w:rsid w:val="3F9E0F04"/>
    <w:rsid w:val="4011727A"/>
    <w:rsid w:val="422D4B72"/>
    <w:rsid w:val="42A075AE"/>
    <w:rsid w:val="443311BE"/>
    <w:rsid w:val="481625DC"/>
    <w:rsid w:val="52C407D6"/>
    <w:rsid w:val="55296C74"/>
    <w:rsid w:val="552A5A76"/>
    <w:rsid w:val="578C1B36"/>
    <w:rsid w:val="5977566C"/>
    <w:rsid w:val="5A8D083C"/>
    <w:rsid w:val="5AD476AC"/>
    <w:rsid w:val="657561D7"/>
    <w:rsid w:val="69A97FDC"/>
    <w:rsid w:val="6BD4174D"/>
    <w:rsid w:val="6C5C182B"/>
    <w:rsid w:val="6F5139EB"/>
    <w:rsid w:val="719144B2"/>
    <w:rsid w:val="7522545C"/>
    <w:rsid w:val="763B671C"/>
    <w:rsid w:val="789E6E13"/>
    <w:rsid w:val="7A0B1496"/>
    <w:rsid w:val="7A683A81"/>
    <w:rsid w:val="7EBF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9"/>
    <w:semiHidden/>
    <w:unhideWhenUsed/>
    <w:qFormat/>
    <w:uiPriority w:val="99"/>
    <w:pPr>
      <w:ind w:firstLine="420" w:firstLineChars="200"/>
    </w:pPr>
  </w:style>
  <w:style w:type="paragraph" w:styleId="3">
    <w:name w:val="Body Text Indent"/>
    <w:basedOn w:val="1"/>
    <w:link w:val="18"/>
    <w:semiHidden/>
    <w:unhideWhenUsed/>
    <w:qFormat/>
    <w:uiPriority w:val="99"/>
    <w:pPr>
      <w:spacing w:after="120"/>
      <w:ind w:left="420" w:leftChars="200"/>
    </w:pPr>
  </w:style>
  <w:style w:type="paragraph" w:styleId="6">
    <w:name w:val="Normal Indent"/>
    <w:basedOn w:val="1"/>
    <w:qFormat/>
    <w:uiPriority w:val="0"/>
    <w:pPr>
      <w:ind w:firstLine="420" w:firstLineChars="200"/>
    </w:p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spacing w:beforeAutospacing="1" w:afterAutospacing="1"/>
      <w:jc w:val="left"/>
    </w:pPr>
    <w:rPr>
      <w:rFonts w:ascii="微软雅黑" w:hAnsi="微软雅黑" w:eastAsia="微软雅黑"/>
      <w:color w:val="333333"/>
      <w:kern w:val="0"/>
      <w:sz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212121"/>
      <w:u w:val="none"/>
    </w:rPr>
  </w:style>
  <w:style w:type="character" w:styleId="14">
    <w:name w:val="Emphasis"/>
    <w:basedOn w:val="11"/>
    <w:qFormat/>
    <w:uiPriority w:val="20"/>
  </w:style>
  <w:style w:type="character" w:styleId="15">
    <w:name w:val="Hyperlink"/>
    <w:qFormat/>
    <w:uiPriority w:val="0"/>
    <w:rPr>
      <w:color w:val="333333"/>
      <w:u w:val="none"/>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正文文本缩进 Char"/>
    <w:basedOn w:val="11"/>
    <w:link w:val="3"/>
    <w:semiHidden/>
    <w:qFormat/>
    <w:uiPriority w:val="99"/>
    <w:rPr>
      <w:rFonts w:ascii="Calibri" w:hAnsi="Calibri" w:eastAsia="宋体" w:cs="Times New Roman"/>
      <w:szCs w:val="24"/>
    </w:rPr>
  </w:style>
  <w:style w:type="character" w:customStyle="1" w:styleId="19">
    <w:name w:val="正文首行缩进 2 Char"/>
    <w:basedOn w:val="18"/>
    <w:link w:val="2"/>
    <w:semiHidden/>
    <w:qFormat/>
    <w:uiPriority w:val="99"/>
    <w:rPr>
      <w:rFonts w:ascii="Calibri" w:hAnsi="Calibri" w:eastAsia="宋体" w:cs="Times New Roman"/>
      <w:szCs w:val="24"/>
    </w:rPr>
  </w:style>
  <w:style w:type="character" w:customStyle="1" w:styleId="20">
    <w:name w:val="bjh-p"/>
    <w:basedOn w:val="11"/>
    <w:qFormat/>
    <w:uiPriority w:val="0"/>
  </w:style>
  <w:style w:type="paragraph" w:styleId="21">
    <w:name w:val="List Paragraph"/>
    <w:basedOn w:val="1"/>
    <w:qFormat/>
    <w:uiPriority w:val="34"/>
    <w:pPr>
      <w:ind w:firstLine="420" w:firstLineChars="200"/>
    </w:pPr>
  </w:style>
  <w:style w:type="paragraph" w:customStyle="1" w:styleId="22">
    <w:name w:val="p_text_indent_2"/>
    <w:basedOn w:val="1"/>
    <w:qFormat/>
    <w:uiPriority w:val="0"/>
    <w:pPr>
      <w:ind w:firstLine="420"/>
      <w:jc w:val="left"/>
    </w:pPr>
    <w:rPr>
      <w:kern w:val="0"/>
    </w:rPr>
  </w:style>
  <w:style w:type="character" w:customStyle="1" w:styleId="23">
    <w:name w:val="rm_play_show"/>
    <w:basedOn w:val="11"/>
    <w:qFormat/>
    <w:uiPriority w:val="0"/>
    <w:rPr>
      <w:vanish/>
    </w:rPr>
  </w:style>
  <w:style w:type="character" w:customStyle="1" w:styleId="24">
    <w:name w:val="rm_play"/>
    <w:basedOn w:val="11"/>
    <w:qFormat/>
    <w:uiPriority w:val="0"/>
  </w:style>
  <w:style w:type="character" w:customStyle="1" w:styleId="25">
    <w:name w:val="active"/>
    <w:basedOn w:val="11"/>
    <w:qFormat/>
    <w:uiPriority w:val="0"/>
    <w:rPr>
      <w:color w:val="D23939"/>
      <w:shd w:val="clear" w:color="auto" w:fill="FFFFFF"/>
    </w:rPr>
  </w:style>
  <w:style w:type="character" w:customStyle="1" w:styleId="26">
    <w:name w:val="xian"/>
    <w:basedOn w:val="11"/>
    <w:qFormat/>
    <w:uiPriority w:val="0"/>
  </w:style>
  <w:style w:type="character" w:customStyle="1" w:styleId="27">
    <w:name w:val="active1"/>
    <w:basedOn w:val="11"/>
    <w:qFormat/>
    <w:uiPriority w:val="0"/>
    <w:rPr>
      <w:color w:val="D23939"/>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6AD21-207A-48A3-A680-7E91788B34F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7024</Words>
  <Characters>7137</Characters>
  <Lines>54</Lines>
  <Paragraphs>15</Paragraphs>
  <TotalTime>11</TotalTime>
  <ScaleCrop>false</ScaleCrop>
  <LinksUpToDate>false</LinksUpToDate>
  <CharactersWithSpaces>7142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2022-03-10T07:57:00Z</dcterms:created>
  <dc:creator>张伟颀</dc:creator>
  <cp:lastModifiedBy>张伟颀</cp:lastModifiedBy>
  <cp:lastPrinted>2022-03-18T08:51:00Z</cp:lastPrinted>
  <dcterms:modified xsi:type="dcterms:W3CDTF">2022-03-25T06:07:48Z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A061EEC0758442C2B2D54C43B2A689E8</vt:lpwstr>
  </property>
</Properties>
</file>