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560"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设计学院</w:t>
      </w:r>
      <w:r>
        <w:rPr>
          <w:rFonts w:hint="eastAsia" w:asciiTheme="minorEastAsia" w:hAnsiTheme="minorEastAsia" w:eastAsiaTheme="minorEastAsia" w:cstheme="minorEastAsia"/>
          <w:b/>
          <w:bCs/>
          <w:sz w:val="28"/>
          <w:szCs w:val="28"/>
          <w:highlight w:val="none"/>
        </w:rPr>
        <w:t>202</w:t>
      </w:r>
      <w:r>
        <w:rPr>
          <w:rFonts w:hint="eastAsia" w:asciiTheme="minorEastAsia" w:hAnsiTheme="minorEastAsia" w:eastAsiaTheme="minorEastAsia" w:cstheme="minorEastAsia"/>
          <w:b/>
          <w:bCs/>
          <w:sz w:val="28"/>
          <w:szCs w:val="28"/>
          <w:highlight w:val="none"/>
          <w:lang w:val="en-US" w:eastAsia="zh-CN"/>
        </w:rPr>
        <w:t>2</w:t>
      </w:r>
      <w:r>
        <w:rPr>
          <w:rFonts w:hint="eastAsia" w:asciiTheme="minorEastAsia" w:hAnsiTheme="minorEastAsia" w:eastAsiaTheme="minorEastAsia" w:cstheme="minorEastAsia"/>
          <w:b/>
          <w:bCs/>
          <w:sz w:val="28"/>
          <w:szCs w:val="28"/>
          <w:highlight w:val="none"/>
        </w:rPr>
        <w:t>级本科学生转专业实施方案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根据</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《安徽省教育厅关于做好新生入学资格复查和学籍学历管理工作的通知》（皖教秘学〔2022〕40号）、</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《合肥学院普通本科学生调整专业实施办法》（院行政〔2017〕204号）相关规定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和文件</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要求，设计学院将2022级本科学生申请</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转</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专业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实施方案</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制定如下：</w:t>
      </w:r>
    </w:p>
    <w:p>
      <w:pPr>
        <w:spacing w:after="0" w:line="360" w:lineRule="auto"/>
        <w:rPr>
          <w:rFonts w:hint="default" w:asciiTheme="minorEastAsia" w:hAnsiTheme="minorEastAsia" w:cstheme="minorEastAsia"/>
          <w:b/>
          <w:bCs/>
          <w:color w:val="333333"/>
          <w:szCs w:val="24"/>
          <w:lang w:val="en-US" w:eastAsia="zh-CN"/>
        </w:rPr>
      </w:pPr>
      <w:r>
        <w:rPr>
          <w:rFonts w:hint="eastAsia" w:asciiTheme="minorEastAsia" w:hAnsiTheme="minorEastAsia" w:cstheme="minorEastAsia"/>
          <w:b/>
          <w:bCs/>
          <w:color w:val="333333"/>
          <w:szCs w:val="24"/>
          <w:shd w:val="clear" w:color="auto" w:fill="FFFFFF"/>
          <w:lang w:eastAsia="zh-CN" w:bidi="ar"/>
        </w:rPr>
        <w:t>一、</w:t>
      </w:r>
      <w:r>
        <w:rPr>
          <w:rFonts w:hint="eastAsia" w:asciiTheme="minorEastAsia" w:hAnsiTheme="minorEastAsia" w:cstheme="minorEastAsia"/>
          <w:color w:val="333333"/>
          <w:szCs w:val="24"/>
          <w:shd w:val="clear" w:color="auto" w:fill="FFFFFF"/>
          <w:lang w:eastAsia="zh-CN" w:bidi="ar"/>
        </w:rPr>
        <w:t>2022级本科学生申请转专业</w:t>
      </w:r>
      <w:r>
        <w:rPr>
          <w:rFonts w:hint="eastAsia" w:asciiTheme="minorEastAsia" w:hAnsiTheme="minorEastAsia" w:cstheme="minorEastAsia"/>
          <w:color w:val="333333"/>
          <w:szCs w:val="24"/>
          <w:shd w:val="clear" w:color="auto" w:fill="FFFFFF"/>
          <w:lang w:val="en-US" w:eastAsia="zh-CN" w:bidi="ar"/>
        </w:rPr>
        <w:t>的</w:t>
      </w:r>
      <w:r>
        <w:rPr>
          <w:rFonts w:hint="eastAsia" w:asciiTheme="minorEastAsia" w:hAnsiTheme="minorEastAsia" w:cstheme="minorEastAsia"/>
          <w:color w:val="333333"/>
          <w:szCs w:val="24"/>
          <w:shd w:val="clear" w:color="auto" w:fill="FFFFFF"/>
          <w:lang w:eastAsia="zh-CN" w:bidi="ar"/>
        </w:rPr>
        <w:t>基本原则、</w:t>
      </w:r>
      <w:r>
        <w:rPr>
          <w:rFonts w:hint="eastAsia" w:asciiTheme="minorEastAsia" w:hAnsiTheme="minorEastAsia" w:cstheme="minorEastAsia"/>
          <w:color w:val="333333"/>
          <w:szCs w:val="24"/>
          <w:shd w:val="clear" w:color="auto" w:fill="FFFFFF"/>
          <w:lang w:val="en-US" w:eastAsia="zh-CN" w:bidi="ar"/>
        </w:rPr>
        <w:t>基本条件、工作流程、学籍管理及时间安排，请查看学校相关文件，以学校统一要求为准。</w:t>
      </w:r>
    </w:p>
    <w:p>
      <w:pPr>
        <w:spacing w:after="0" w:line="360" w:lineRule="auto"/>
        <w:ind w:left="480" w:leftChars="200" w:firstLine="0" w:firstLineChars="0"/>
        <w:jc w:val="left"/>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二、</w:t>
      </w:r>
      <w:r>
        <w:rPr>
          <w:rFonts w:hint="eastAsia" w:asciiTheme="minorEastAsia" w:hAnsiTheme="minorEastAsia" w:cstheme="minorEastAsia"/>
          <w:color w:val="333333"/>
          <w:szCs w:val="24"/>
          <w:shd w:val="clear" w:color="auto" w:fill="FFFFFF"/>
          <w:lang w:eastAsia="zh-CN" w:bidi="ar"/>
        </w:rPr>
        <w:t>2022级设计学院各专业可接收学生人数</w:t>
      </w:r>
      <w:r>
        <w:rPr>
          <w:rFonts w:hint="eastAsia" w:asciiTheme="minorEastAsia" w:hAnsiTheme="minorEastAsia" w:cstheme="minorEastAsia"/>
          <w:color w:val="333333"/>
          <w:szCs w:val="24"/>
          <w:shd w:val="clear" w:color="auto" w:fill="FFFFFF"/>
          <w:lang w:val="en-US" w:eastAsia="zh-CN" w:bidi="ar"/>
        </w:rPr>
        <w:t>见下表</w:t>
      </w:r>
      <w:r>
        <w:rPr>
          <w:rFonts w:hint="eastAsia" w:asciiTheme="minorEastAsia" w:hAnsiTheme="minorEastAsia" w:cstheme="minorEastAsia"/>
          <w:color w:val="333333"/>
          <w:szCs w:val="24"/>
          <w:shd w:val="clear" w:color="auto" w:fill="FFFFFF"/>
          <w:lang w:eastAsia="zh-CN" w:bidi="ar"/>
        </w:rPr>
        <w:t>。</w:t>
      </w:r>
    </w:p>
    <w:p>
      <w:pPr>
        <w:numPr>
          <w:ilvl w:val="0"/>
          <w:numId w:val="0"/>
        </w:numPr>
        <w:spacing w:after="0" w:line="360" w:lineRule="auto"/>
        <w:ind w:leftChars="200"/>
        <w:rPr>
          <w:rFonts w:asciiTheme="minorEastAsia" w:hAnsiTheme="minorEastAsia" w:cstheme="minorEastAsia"/>
          <w:b/>
          <w:bCs/>
          <w:color w:val="333333"/>
          <w:szCs w:val="24"/>
          <w:shd w:val="clear" w:color="auto" w:fill="FFFFFF"/>
          <w:lang w:eastAsia="zh-CN" w:bidi="ar"/>
        </w:rPr>
      </w:pPr>
    </w:p>
    <w:tbl>
      <w:tblPr>
        <w:tblStyle w:val="7"/>
        <w:tblW w:w="8850" w:type="dxa"/>
        <w:tblInd w:w="153" w:type="dxa"/>
        <w:tblLayout w:type="fixed"/>
        <w:tblCellMar>
          <w:top w:w="0" w:type="dxa"/>
          <w:left w:w="0" w:type="dxa"/>
          <w:bottom w:w="0" w:type="dxa"/>
          <w:right w:w="0" w:type="dxa"/>
        </w:tblCellMar>
      </w:tblPr>
      <w:tblGrid>
        <w:gridCol w:w="1307"/>
        <w:gridCol w:w="2908"/>
        <w:gridCol w:w="2039"/>
        <w:gridCol w:w="2596"/>
      </w:tblGrid>
      <w:tr>
        <w:tblPrEx>
          <w:tblCellMar>
            <w:top w:w="0" w:type="dxa"/>
            <w:left w:w="0" w:type="dxa"/>
            <w:bottom w:w="0" w:type="dxa"/>
            <w:right w:w="0" w:type="dxa"/>
          </w:tblCellMar>
        </w:tblPrEx>
        <w:trPr>
          <w:trHeight w:val="502" w:hRule="atLeast"/>
        </w:trPr>
        <w:tc>
          <w:tcPr>
            <w:tcW w:w="1307"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学院名称</w:t>
            </w:r>
          </w:p>
        </w:tc>
        <w:tc>
          <w:tcPr>
            <w:tcW w:w="2908"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专业名称</w:t>
            </w:r>
          </w:p>
        </w:tc>
        <w:tc>
          <w:tcPr>
            <w:tcW w:w="2039"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rPr>
            </w:pPr>
            <w:r>
              <w:rPr>
                <w:rFonts w:hint="eastAsia" w:asciiTheme="minorEastAsia" w:hAnsiTheme="minorEastAsia" w:cstheme="minorEastAsia"/>
                <w:color w:val="333333"/>
                <w:szCs w:val="24"/>
                <w:lang w:eastAsia="zh-CN" w:bidi="ar"/>
              </w:rPr>
              <w:t>本专业尚可接收的学生人数</w:t>
            </w:r>
          </w:p>
        </w:tc>
        <w:tc>
          <w:tcPr>
            <w:tcW w:w="2596"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考核形式</w:t>
            </w:r>
          </w:p>
        </w:tc>
      </w:tr>
      <w:tr>
        <w:tblPrEx>
          <w:tblCellMar>
            <w:top w:w="0" w:type="dxa"/>
            <w:left w:w="0" w:type="dxa"/>
            <w:bottom w:w="0" w:type="dxa"/>
            <w:right w:w="0" w:type="dxa"/>
          </w:tblCellMar>
        </w:tblPrEx>
        <w:trPr>
          <w:trHeight w:val="102" w:hRule="atLeast"/>
        </w:trPr>
        <w:tc>
          <w:tcPr>
            <w:tcW w:w="1307" w:type="dxa"/>
            <w:vMerge w:val="restart"/>
            <w:tcBorders>
              <w:top w:val="single" w:color="000000" w:sz="6" w:space="0"/>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设计学院</w:t>
            </w:r>
          </w:p>
        </w:tc>
        <w:tc>
          <w:tcPr>
            <w:tcW w:w="2908"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工业设计</w:t>
            </w:r>
          </w:p>
        </w:tc>
        <w:tc>
          <w:tcPr>
            <w:tcW w:w="2039"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4</w:t>
            </w:r>
          </w:p>
        </w:tc>
        <w:tc>
          <w:tcPr>
            <w:tcW w:w="2596" w:type="dxa"/>
            <w:tcBorders>
              <w:top w:val="single" w:color="000000" w:sz="6" w:space="0"/>
              <w:left w:val="nil"/>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笔试、面试</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产品设计</w:t>
            </w:r>
          </w:p>
        </w:tc>
        <w:tc>
          <w:tcPr>
            <w:tcW w:w="2039"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nil"/>
              <w:left w:val="nil"/>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环境设计</w:t>
            </w:r>
          </w:p>
        </w:tc>
        <w:tc>
          <w:tcPr>
            <w:tcW w:w="2039"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nil"/>
              <w:left w:val="nil"/>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艺术与科技</w:t>
            </w:r>
          </w:p>
        </w:tc>
        <w:tc>
          <w:tcPr>
            <w:tcW w:w="2039"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nil"/>
              <w:left w:val="nil"/>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视觉传达设计</w:t>
            </w:r>
          </w:p>
        </w:tc>
        <w:tc>
          <w:tcPr>
            <w:tcW w:w="2039" w:type="dxa"/>
            <w:tcBorders>
              <w:top w:val="nil"/>
              <w:left w:val="nil"/>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nil"/>
              <w:left w:val="nil"/>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动画</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blPrEx>
          <w:tblCellMar>
            <w:top w:w="0" w:type="dxa"/>
            <w:left w:w="0" w:type="dxa"/>
            <w:bottom w:w="0" w:type="dxa"/>
            <w:right w:w="0" w:type="dxa"/>
          </w:tblCellMar>
        </w:tblPrEx>
        <w:trPr>
          <w:trHeight w:val="90" w:hRule="atLeast"/>
        </w:trPr>
        <w:tc>
          <w:tcPr>
            <w:tcW w:w="1307" w:type="dxa"/>
            <w:vMerge w:val="continue"/>
            <w:tcBorders>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工艺美术</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无</w:t>
            </w:r>
          </w:p>
        </w:tc>
      </w:tr>
    </w:tbl>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 </w:t>
      </w:r>
      <w:r>
        <w:rPr>
          <w:rFonts w:hint="eastAsia" w:asciiTheme="minorEastAsia" w:hAnsiTheme="minorEastAsia" w:cstheme="minorEastAsia"/>
          <w:b/>
          <w:bCs/>
          <w:color w:val="333333"/>
          <w:szCs w:val="24"/>
          <w:shd w:val="clear" w:color="auto" w:fill="FFFFFF"/>
          <w:lang w:val="en-US" w:eastAsia="zh-CN" w:bidi="ar"/>
        </w:rPr>
        <w:t>三</w:t>
      </w:r>
      <w:r>
        <w:rPr>
          <w:rFonts w:hint="eastAsia" w:asciiTheme="minorEastAsia" w:hAnsiTheme="minorEastAsia" w:cstheme="minorEastAsia"/>
          <w:b/>
          <w:bCs/>
          <w:color w:val="333333"/>
          <w:szCs w:val="24"/>
          <w:shd w:val="clear" w:color="auto" w:fill="FFFFFF"/>
          <w:lang w:eastAsia="zh-CN" w:bidi="ar"/>
        </w:rPr>
        <w:t>、考核办法</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 xml:space="preserve">第一部分：笔试 </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由相关专业系主任、专业负责人负责出题考试，笔试满分成绩100分。试卷分两套，考试现场随机抽取。</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第二部分：面试</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1、以设计学院学术、学位委员会成员组成，成立转专业面试考核小组。</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2、考察学生对设计学院拟转入专业的了解程度和兴趣。</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3、考察学生在本学科和专业领域的学习基础和潜力。</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4、考察学生对设计学院拟转入专业的学习计划和目标。</w:t>
      </w:r>
    </w:p>
    <w:p>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5、考核小组成员当场打分，填写《设计学院接收转专业学生面试考核专家评分表》（见附件），面试结束后根据笔试(占5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val="en-US" w:eastAsia="zh-CN" w:bidi="ar"/>
        </w:rPr>
        <w:t>面试</w:t>
      </w:r>
      <w:r>
        <w:rPr>
          <w:rFonts w:hint="eastAsia" w:asciiTheme="minorEastAsia" w:hAnsiTheme="minorEastAsia" w:cstheme="minorEastAsia"/>
          <w:color w:val="333333"/>
          <w:szCs w:val="24"/>
          <w:shd w:val="clear" w:color="auto" w:fill="FFFFFF"/>
          <w:lang w:eastAsia="zh-CN" w:bidi="ar"/>
        </w:rPr>
        <w:t>(占5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的综合成绩进行排名，要求及格线60分以上，按照排名从高到低的顺序择优录取。</w:t>
      </w:r>
    </w:p>
    <w:p>
      <w:pPr>
        <w:spacing w:after="0" w:line="360" w:lineRule="auto"/>
        <w:rPr>
          <w:rFonts w:hint="eastAsia" w:eastAsia="宋体"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6、笔试、面试考核过程设计学院</w:t>
      </w:r>
      <w:r>
        <w:rPr>
          <w:rFonts w:ascii="宋体" w:hAnsi="宋体" w:eastAsia="宋体" w:cs="宋体"/>
          <w:sz w:val="24"/>
          <w:szCs w:val="24"/>
        </w:rPr>
        <w:t>纪委全</w:t>
      </w:r>
      <w:r>
        <w:rPr>
          <w:rFonts w:hint="eastAsia" w:ascii="宋体" w:hAnsi="宋体" w:eastAsia="宋体" w:cs="宋体"/>
          <w:sz w:val="24"/>
          <w:szCs w:val="24"/>
          <w:lang w:val="en-US" w:eastAsia="zh-CN"/>
        </w:rPr>
        <w:t>流程</w:t>
      </w:r>
      <w:r>
        <w:rPr>
          <w:rFonts w:ascii="宋体" w:hAnsi="宋体" w:eastAsia="宋体" w:cs="宋体"/>
          <w:sz w:val="24"/>
          <w:szCs w:val="24"/>
        </w:rPr>
        <w:t>监督</w:t>
      </w:r>
      <w:r>
        <w:rPr>
          <w:rFonts w:hint="eastAsia" w:ascii="宋体" w:hAnsi="宋体" w:eastAsia="宋体" w:cs="宋体"/>
          <w:sz w:val="24"/>
          <w:szCs w:val="24"/>
          <w:lang w:eastAsia="zh-CN"/>
        </w:rPr>
        <w:t>。</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第三部分：考核时间</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初试、面试时间初步拟定在每学年第二学期期初，具体时间安排根据学校教务处的统一部署。</w:t>
      </w:r>
    </w:p>
    <w:p>
      <w:pPr>
        <w:spacing w:after="0" w:line="360" w:lineRule="auto"/>
        <w:rPr>
          <w:rFonts w:asciiTheme="minorEastAsia" w:hAnsiTheme="minorEastAsia" w:cstheme="minorEastAsia"/>
          <w:b/>
          <w:bCs/>
          <w:color w:val="333333"/>
          <w:szCs w:val="24"/>
          <w:shd w:val="clear" w:color="auto" w:fill="FFFFFF"/>
          <w:lang w:eastAsia="zh-CN" w:bidi="ar"/>
        </w:rPr>
      </w:pPr>
    </w:p>
    <w:p>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四</w:t>
      </w:r>
      <w:bookmarkStart w:id="0" w:name="_GoBack"/>
      <w:bookmarkEnd w:id="0"/>
      <w:r>
        <w:rPr>
          <w:rFonts w:hint="eastAsia" w:asciiTheme="minorEastAsia" w:hAnsiTheme="minorEastAsia" w:cstheme="minorEastAsia"/>
          <w:b/>
          <w:bCs/>
          <w:color w:val="333333"/>
          <w:szCs w:val="24"/>
          <w:shd w:val="clear" w:color="auto" w:fill="FFFFFF"/>
          <w:lang w:eastAsia="zh-CN" w:bidi="ar"/>
        </w:rPr>
        <w:t xml:space="preserve">、 公示 </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设计学院教学办根据考核结果汇总拟接收转专业学生名单，按学校要求公示后上报教务处。</w:t>
      </w: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w:t>
      </w:r>
    </w:p>
    <w:p>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2022年12月29日</w:t>
      </w:r>
    </w:p>
    <w:p>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480" w:firstLineChars="200"/>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br w:type="page"/>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附件：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设计学院接收转专业学生面试考核专家评分表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tbl>
      <w:tblPr>
        <w:tblStyle w:val="8"/>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858"/>
        <w:gridCol w:w="300"/>
        <w:gridCol w:w="459"/>
        <w:gridCol w:w="1613"/>
        <w:gridCol w:w="234"/>
        <w:gridCol w:w="1712"/>
        <w:gridCol w:w="50"/>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姓名</w:t>
            </w:r>
          </w:p>
        </w:tc>
        <w:tc>
          <w:tcPr>
            <w:tcW w:w="1858"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性别</w:t>
            </w:r>
          </w:p>
        </w:tc>
        <w:tc>
          <w:tcPr>
            <w:tcW w:w="1847"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原专业</w:t>
            </w:r>
          </w:p>
        </w:tc>
        <w:tc>
          <w:tcPr>
            <w:tcW w:w="1747" w:type="dxa"/>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学号</w:t>
            </w:r>
          </w:p>
        </w:tc>
        <w:tc>
          <w:tcPr>
            <w:tcW w:w="1858"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年龄</w:t>
            </w:r>
          </w:p>
        </w:tc>
        <w:tc>
          <w:tcPr>
            <w:tcW w:w="1847"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申请转入专业</w:t>
            </w:r>
          </w:p>
        </w:tc>
        <w:tc>
          <w:tcPr>
            <w:tcW w:w="1747" w:type="dxa"/>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6" w:type="dxa"/>
            <w:gridSpan w:val="9"/>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left"/>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面试情况记录表：</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考核教师</w:t>
            </w:r>
          </w:p>
        </w:tc>
        <w:tc>
          <w:tcPr>
            <w:tcW w:w="2158" w:type="dxa"/>
            <w:gridSpan w:val="2"/>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专业了解程度和兴趣</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2072"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学习基础和潜力</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1946"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学习计划和目标</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（40%）</w:t>
            </w:r>
          </w:p>
        </w:tc>
        <w:tc>
          <w:tcPr>
            <w:tcW w:w="1797" w:type="dxa"/>
            <w:gridSpan w:val="2"/>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158" w:type="dxa"/>
            <w:gridSpan w:val="2"/>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072"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946"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97" w:type="dxa"/>
            <w:gridSpan w:val="2"/>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sectPr>
      <w:pgSz w:w="11906" w:h="16838"/>
      <w:pgMar w:top="1701" w:right="1417" w:bottom="1701" w:left="1417" w:header="709" w:footer="850" w:gutter="0"/>
      <w:pgBorders>
        <w:top w:val="none" w:sz="0" w:space="0"/>
        <w:left w:val="none" w:sz="0" w:space="0"/>
        <w:bottom w:val="none" w:sz="0" w:space="0"/>
        <w:right w:val="none" w:sz="0" w:space="0"/>
      </w:pgBorders>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ind w:firstLine="480"/>
      </w:pPr>
      <w:r>
        <w:separator/>
      </w:r>
    </w:p>
  </w:footnote>
  <w:footnote w:type="continuationSeparator" w:id="1">
    <w:p>
      <w:pPr>
        <w:spacing w:before="0" w:after="0" w:line="312"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WU0ZmRlY2M5ZWRhOGJhMTRlOTk1ZDMzZjE0YzMifQ=="/>
  </w:docVars>
  <w:rsids>
    <w:rsidRoot w:val="78552F82"/>
    <w:rsid w:val="0075598B"/>
    <w:rsid w:val="05481266"/>
    <w:rsid w:val="069114AA"/>
    <w:rsid w:val="07457934"/>
    <w:rsid w:val="0A617527"/>
    <w:rsid w:val="125D5E2E"/>
    <w:rsid w:val="164D4160"/>
    <w:rsid w:val="1A9C62DD"/>
    <w:rsid w:val="1B7D1FE8"/>
    <w:rsid w:val="1BA10871"/>
    <w:rsid w:val="1C664A69"/>
    <w:rsid w:val="1DE75C83"/>
    <w:rsid w:val="2159766D"/>
    <w:rsid w:val="237C2DD8"/>
    <w:rsid w:val="260E2C1D"/>
    <w:rsid w:val="28113C07"/>
    <w:rsid w:val="2DE7527A"/>
    <w:rsid w:val="350170CA"/>
    <w:rsid w:val="37913FD8"/>
    <w:rsid w:val="3F5E56C6"/>
    <w:rsid w:val="48976364"/>
    <w:rsid w:val="4D2F6F46"/>
    <w:rsid w:val="53916D55"/>
    <w:rsid w:val="539B3028"/>
    <w:rsid w:val="58300281"/>
    <w:rsid w:val="5B263B4D"/>
    <w:rsid w:val="5E8A0EA0"/>
    <w:rsid w:val="628C4338"/>
    <w:rsid w:val="62DA3B1E"/>
    <w:rsid w:val="66B04F57"/>
    <w:rsid w:val="6D7B052E"/>
    <w:rsid w:val="703A1101"/>
    <w:rsid w:val="71A91E72"/>
    <w:rsid w:val="76422F15"/>
    <w:rsid w:val="78552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pacing w:after="160" w:line="312" w:lineRule="auto"/>
      <w:ind w:left="0" w:leftChars="0" w:firstLine="480" w:firstLineChars="200"/>
      <w:jc w:val="both"/>
    </w:pPr>
    <w:rPr>
      <w:rFonts w:ascii="Times New Roman" w:hAnsi="Times New Roman" w:cs="Times New Roman" w:eastAsiaTheme="minorEastAsia"/>
      <w:color w:val="auto"/>
      <w:sz w:val="24"/>
      <w:szCs w:val="20"/>
      <w:lang w:val="en-US" w:eastAsia="en-US" w:bidi="th-TH"/>
    </w:rPr>
  </w:style>
  <w:style w:type="paragraph" w:styleId="2">
    <w:name w:val="heading 1"/>
    <w:basedOn w:val="1"/>
    <w:next w:val="1"/>
    <w:link w:val="11"/>
    <w:qFormat/>
    <w:uiPriority w:val="0"/>
    <w:pPr>
      <w:spacing w:before="0" w:beforeAutospacing="1" w:after="0" w:afterAutospacing="1"/>
      <w:jc w:val="left"/>
    </w:pPr>
    <w:rPr>
      <w:rFonts w:hint="eastAsia" w:ascii="宋体" w:hAnsi="宋体" w:eastAsia="宋体" w:cs="宋体"/>
      <w:b/>
      <w:bCs/>
      <w:color w:val="000000" w:themeColor="text1"/>
      <w:sz w:val="48"/>
      <w:szCs w:val="48"/>
      <w:lang w:val="en-US" w:eastAsia="zh-CN" w:bidi="ar"/>
      <w14:textFill>
        <w14:solidFill>
          <w14:schemeClr w14:val="tx1"/>
        </w14:solidFill>
      </w14:textFill>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oc 1"/>
    <w:next w:val="1"/>
    <w:qFormat/>
    <w:uiPriority w:val="0"/>
    <w:pPr>
      <w:adjustRightInd w:val="0"/>
      <w:spacing w:after="100" w:line="360" w:lineRule="auto"/>
      <w:ind w:left="0" w:leftChars="0" w:firstLine="480" w:firstLineChars="200"/>
      <w:jc w:val="both"/>
    </w:pPr>
    <w:rPr>
      <w:rFonts w:ascii="Times New Roman" w:hAnsi="Times New Roman" w:cs="Times New Roman" w:eastAsiaTheme="minorEastAsia"/>
      <w:sz w:val="24"/>
      <w:szCs w:val="16"/>
      <w:cs/>
      <w:lang w:val="en-US" w:eastAsia="en-US" w:bidi="th-TH"/>
    </w:rPr>
  </w:style>
  <w:style w:type="paragraph" w:styleId="6">
    <w:name w:val="Normal (Web)"/>
    <w:basedOn w:val="1"/>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标题 1 字符"/>
    <w:basedOn w:val="9"/>
    <w:link w:val="2"/>
    <w:qFormat/>
    <w:uiPriority w:val="9"/>
    <w:rPr>
      <w:rFonts w:ascii="Times New Roman" w:hAnsi="Times New Roman" w:eastAsia="Times New Roman" w:cs="Times New Roman"/>
      <w:b/>
      <w:bCs/>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765</Words>
  <Characters>806</Characters>
  <Lines>0</Lines>
  <Paragraphs>0</Paragraphs>
  <TotalTime>4</TotalTime>
  <ScaleCrop>false</ScaleCrop>
  <LinksUpToDate>false</LinksUpToDate>
  <CharactersWithSpaces>810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2022-12-29T06:16:00Z</dcterms:created>
  <dc:creator>lande9</dc:creator>
  <cp:lastModifiedBy>lande9</cp:lastModifiedBy>
  <cp:lastPrinted>2023-01-06T01:25:00Z</cp:lastPrinted>
  <dcterms:modified xsi:type="dcterms:W3CDTF">2023-01-06T01:34:40Z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F888A664DD8F48668C7DB093E8B6932C</vt:lpwstr>
  </property>
</Properties>
</file>